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ind w:firstLine="442" w:firstLineChars="100"/>
        <w:rPr>
          <w:rFonts w:hint="eastAsia"/>
          <w:b/>
          <w:color w:val="auto"/>
          <w:sz w:val="44"/>
          <w:highlight w:val="none"/>
          <w:u w:val="single"/>
        </w:rPr>
      </w:pPr>
    </w:p>
    <w:p>
      <w:pPr>
        <w:pStyle w:val="24"/>
        <w:ind w:firstLine="442" w:firstLineChars="100"/>
        <w:rPr>
          <w:rFonts w:hint="eastAsia"/>
          <w:b/>
          <w:color w:val="auto"/>
          <w:sz w:val="44"/>
          <w:highlight w:val="none"/>
          <w:u w:val="single"/>
        </w:rPr>
      </w:pPr>
    </w:p>
    <w:p>
      <w:pPr>
        <w:shd w:val="clear" w:color="auto" w:fill="FFFFFF"/>
        <w:spacing w:line="360" w:lineRule="auto"/>
        <w:jc w:val="center"/>
        <w:rPr>
          <w:rFonts w:hint="eastAsia" w:ascii="仿宋_GB2312" w:hAnsi="宋体" w:eastAsia="仿宋_GB2312"/>
          <w:b/>
          <w:color w:val="auto"/>
          <w:sz w:val="44"/>
          <w:szCs w:val="44"/>
          <w:highlight w:val="none"/>
          <w:lang w:val="en-US" w:eastAsia="zh-CN"/>
        </w:rPr>
      </w:pPr>
      <w:r>
        <w:rPr>
          <w:rFonts w:hint="eastAsia" w:ascii="仿宋_GB2312" w:hAnsi="宋体" w:eastAsia="仿宋_GB2312"/>
          <w:b/>
          <w:color w:val="auto"/>
          <w:sz w:val="44"/>
          <w:szCs w:val="44"/>
          <w:highlight w:val="none"/>
          <w:lang w:val="zh-CN"/>
        </w:rPr>
        <w:t>中车石家庄车辆有限公司</w:t>
      </w:r>
      <w:r>
        <w:rPr>
          <w:rFonts w:hint="eastAsia" w:ascii="仿宋_GB2312" w:hAnsi="宋体" w:eastAsia="仿宋_GB2312"/>
          <w:b/>
          <w:color w:val="auto"/>
          <w:sz w:val="44"/>
          <w:szCs w:val="44"/>
          <w:highlight w:val="none"/>
          <w:lang w:val="en-US" w:eastAsia="zh-CN"/>
        </w:rPr>
        <w:t>石家庄国祥公司</w:t>
      </w:r>
    </w:p>
    <w:p>
      <w:pPr>
        <w:shd w:val="clear" w:color="auto" w:fill="FFFFFF"/>
        <w:spacing w:line="360" w:lineRule="auto"/>
        <w:jc w:val="center"/>
        <w:rPr>
          <w:rFonts w:hint="eastAsia" w:ascii="楷体_GB2312" w:eastAsia="楷体_GB2312"/>
          <w:color w:val="auto"/>
          <w:sz w:val="72"/>
          <w:szCs w:val="72"/>
          <w:highlight w:val="none"/>
          <w:lang w:val="zh-CN"/>
        </w:rPr>
      </w:pPr>
      <w:r>
        <w:rPr>
          <w:rFonts w:hint="eastAsia" w:ascii="仿宋_GB2312" w:hAnsi="宋体" w:eastAsia="仿宋_GB2312"/>
          <w:b/>
          <w:color w:val="auto"/>
          <w:sz w:val="44"/>
          <w:szCs w:val="44"/>
          <w:highlight w:val="yellow"/>
          <w:lang w:val="en-US" w:eastAsia="zh-CN"/>
        </w:rPr>
        <w:t>圣保罗1、2、3号线项目控制器及控制器IO模块</w:t>
      </w:r>
      <w:r>
        <w:rPr>
          <w:rFonts w:hint="eastAsia" w:ascii="仿宋_GB2312" w:hAnsi="宋体" w:eastAsia="仿宋_GB2312"/>
          <w:b/>
          <w:color w:val="auto"/>
          <w:sz w:val="44"/>
          <w:szCs w:val="44"/>
          <w:highlight w:val="none"/>
          <w:lang w:val="zh-CN"/>
        </w:rPr>
        <w:t>采购项目</w:t>
      </w:r>
    </w:p>
    <w:p>
      <w:pPr>
        <w:pStyle w:val="24"/>
        <w:ind w:firstLine="442" w:firstLineChars="100"/>
        <w:rPr>
          <w:rFonts w:hint="eastAsia"/>
          <w:b/>
          <w:color w:val="auto"/>
          <w:sz w:val="44"/>
          <w:highlight w:val="none"/>
          <w:u w:val="single"/>
        </w:rPr>
      </w:pPr>
    </w:p>
    <w:p>
      <w:pPr>
        <w:pStyle w:val="24"/>
        <w:tabs>
          <w:tab w:val="left" w:pos="8780"/>
        </w:tabs>
        <w:spacing w:line="360" w:lineRule="auto"/>
        <w:jc w:val="center"/>
        <w:rPr>
          <w:b/>
          <w:color w:val="auto"/>
          <w:sz w:val="44"/>
          <w:highlight w:val="none"/>
        </w:rPr>
      </w:pPr>
      <w:r>
        <w:rPr>
          <w:rFonts w:hint="eastAsia" w:ascii="Arial" w:hAnsi="Arial" w:eastAsia="楷体_GB2312"/>
          <w:b w:val="0"/>
          <w:bCs/>
          <w:color w:val="auto"/>
          <w:sz w:val="44"/>
          <w:highlight w:val="none"/>
          <w:u w:val="none"/>
        </w:rPr>
        <w:br w:type="textWrapping"/>
      </w:r>
    </w:p>
    <w:p>
      <w:pPr>
        <w:pStyle w:val="24"/>
        <w:ind w:firstLine="1687" w:firstLineChars="200"/>
        <w:rPr>
          <w:rFonts w:hAnsi="宋体"/>
          <w:b/>
          <w:bCs/>
          <w:color w:val="auto"/>
          <w:sz w:val="84"/>
          <w:highlight w:val="none"/>
        </w:rPr>
      </w:pPr>
      <w:r>
        <w:rPr>
          <w:rFonts w:hint="eastAsia" w:hAnsi="宋体"/>
          <w:b/>
          <w:bCs/>
          <w:color w:val="auto"/>
          <w:sz w:val="84"/>
          <w:highlight w:val="none"/>
          <w:lang w:eastAsia="zh-CN"/>
        </w:rPr>
        <w:t>采</w:t>
      </w:r>
      <w:r>
        <w:rPr>
          <w:rFonts w:hint="eastAsia" w:hAnsi="宋体"/>
          <w:b/>
          <w:bCs/>
          <w:color w:val="auto"/>
          <w:sz w:val="84"/>
          <w:highlight w:val="none"/>
          <w:lang w:val="en-US" w:eastAsia="zh-CN"/>
        </w:rPr>
        <w:t xml:space="preserve"> </w:t>
      </w:r>
      <w:r>
        <w:rPr>
          <w:rFonts w:hint="eastAsia" w:hAnsi="宋体"/>
          <w:b/>
          <w:bCs/>
          <w:color w:val="auto"/>
          <w:sz w:val="84"/>
          <w:highlight w:val="none"/>
          <w:lang w:eastAsia="zh-CN"/>
        </w:rPr>
        <w:t>购</w:t>
      </w:r>
      <w:r>
        <w:rPr>
          <w:rFonts w:hAnsi="宋体"/>
          <w:b/>
          <w:bCs/>
          <w:color w:val="auto"/>
          <w:sz w:val="84"/>
          <w:highlight w:val="none"/>
        </w:rPr>
        <w:t xml:space="preserve"> 文 件</w:t>
      </w:r>
    </w:p>
    <w:p>
      <w:pPr>
        <w:pStyle w:val="24"/>
        <w:ind w:firstLine="1928" w:firstLineChars="600"/>
        <w:rPr>
          <w:rFonts w:hint="eastAsia" w:hAnsi="宋体"/>
          <w:b/>
          <w:color w:val="auto"/>
          <w:sz w:val="32"/>
          <w:highlight w:val="none"/>
        </w:rPr>
      </w:pPr>
    </w:p>
    <w:p>
      <w:pPr>
        <w:pStyle w:val="24"/>
        <w:spacing w:line="360" w:lineRule="auto"/>
        <w:ind w:firstLine="1675" w:firstLineChars="556"/>
        <w:rPr>
          <w:rFonts w:hint="eastAsia" w:hAnsi="宋体"/>
          <w:b/>
          <w:color w:val="auto"/>
          <w:sz w:val="30"/>
          <w:highlight w:val="none"/>
        </w:rPr>
      </w:pPr>
      <w:r>
        <w:rPr>
          <w:rFonts w:hint="eastAsia" w:hAnsi="宋体"/>
          <w:b/>
          <w:color w:val="auto"/>
          <w:sz w:val="30"/>
          <w:highlight w:val="none"/>
        </w:rPr>
        <w:t xml:space="preserve">             </w:t>
      </w:r>
    </w:p>
    <w:p>
      <w:pPr>
        <w:pStyle w:val="24"/>
        <w:spacing w:line="360" w:lineRule="auto"/>
        <w:ind w:firstLine="1675" w:firstLineChars="556"/>
        <w:rPr>
          <w:rFonts w:hAnsi="宋体"/>
          <w:b/>
          <w:color w:val="auto"/>
          <w:sz w:val="30"/>
          <w:highlight w:val="none"/>
        </w:rPr>
      </w:pPr>
      <w:r>
        <w:rPr>
          <w:rFonts w:hint="eastAsia" w:hAnsi="宋体"/>
          <w:b/>
          <w:color w:val="auto"/>
          <w:sz w:val="30"/>
          <w:highlight w:val="none"/>
        </w:rPr>
        <w:t xml:space="preserve">              </w:t>
      </w:r>
    </w:p>
    <w:p>
      <w:pPr>
        <w:pStyle w:val="24"/>
        <w:ind w:firstLine="1125"/>
        <w:rPr>
          <w:rFonts w:hAnsi="宋体"/>
          <w:b/>
          <w:color w:val="auto"/>
          <w:sz w:val="30"/>
          <w:highlight w:val="none"/>
        </w:rPr>
      </w:pPr>
    </w:p>
    <w:p>
      <w:pPr>
        <w:pStyle w:val="24"/>
        <w:ind w:firstLine="1125"/>
        <w:rPr>
          <w:rFonts w:hAnsi="宋体"/>
          <w:b/>
          <w:color w:val="auto"/>
          <w:sz w:val="32"/>
          <w:highlight w:val="none"/>
        </w:rPr>
      </w:pPr>
    </w:p>
    <w:p>
      <w:pPr>
        <w:pStyle w:val="24"/>
        <w:rPr>
          <w:rFonts w:hint="eastAsia" w:hAnsi="宋体"/>
          <w:b/>
          <w:color w:val="auto"/>
          <w:sz w:val="32"/>
          <w:highlight w:val="none"/>
        </w:rPr>
      </w:pPr>
    </w:p>
    <w:p>
      <w:pPr>
        <w:pStyle w:val="24"/>
        <w:spacing w:line="600" w:lineRule="exact"/>
        <w:jc w:val="both"/>
        <w:textAlignment w:val="baseline"/>
        <w:rPr>
          <w:rFonts w:hAnsi="宋体"/>
          <w:b/>
          <w:color w:val="auto"/>
          <w:sz w:val="30"/>
          <w:highlight w:val="none"/>
        </w:rPr>
      </w:pPr>
    </w:p>
    <w:p>
      <w:pPr>
        <w:pStyle w:val="2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800" w:firstLineChars="600"/>
        <w:jc w:val="both"/>
        <w:textAlignment w:val="baseline"/>
        <w:outlineLvl w:val="9"/>
        <w:rPr>
          <w:rFonts w:hint="default" w:hAnsi="宋体"/>
          <w:b w:val="0"/>
          <w:bCs/>
          <w:color w:val="auto"/>
          <w:sz w:val="30"/>
          <w:highlight w:val="none"/>
          <w:lang w:val="en-US"/>
        </w:rPr>
      </w:pPr>
      <w:r>
        <w:rPr>
          <w:rFonts w:hint="eastAsia" w:hAnsi="宋体"/>
          <w:b w:val="0"/>
          <w:bCs/>
          <w:color w:val="auto"/>
          <w:sz w:val="30"/>
          <w:highlight w:val="none"/>
          <w:lang w:val="en-US" w:eastAsia="zh-CN"/>
        </w:rPr>
        <w:t>采购</w:t>
      </w:r>
      <w:r>
        <w:rPr>
          <w:rFonts w:hAnsi="宋体"/>
          <w:b w:val="0"/>
          <w:bCs/>
          <w:color w:val="auto"/>
          <w:sz w:val="30"/>
          <w:highlight w:val="none"/>
        </w:rPr>
        <w:t>人：</w:t>
      </w:r>
      <w:r>
        <w:rPr>
          <w:rFonts w:hint="eastAsia" w:hAnsi="宋体"/>
          <w:b w:val="0"/>
          <w:bCs/>
          <w:color w:val="auto"/>
          <w:sz w:val="30"/>
          <w:highlight w:val="none"/>
          <w:lang w:eastAsia="zh-CN"/>
        </w:rPr>
        <w:t>中车石家庄车辆有限公司</w:t>
      </w:r>
    </w:p>
    <w:p>
      <w:pPr>
        <w:pStyle w:val="24"/>
        <w:keepNext w:val="0"/>
        <w:keepLines w:val="0"/>
        <w:pageBreakBefore w:val="0"/>
        <w:widowControl w:val="0"/>
        <w:kinsoku/>
        <w:wordWrap/>
        <w:overflowPunct/>
        <w:topLinePunct w:val="0"/>
        <w:autoSpaceDE/>
        <w:autoSpaceDN/>
        <w:bidi w:val="0"/>
        <w:adjustRightInd/>
        <w:snapToGrid/>
        <w:spacing w:line="360" w:lineRule="auto"/>
        <w:ind w:right="0" w:rightChars="0" w:firstLine="1800" w:firstLineChars="600"/>
        <w:outlineLvl w:val="9"/>
        <w:rPr>
          <w:rFonts w:hint="default" w:hAnsi="宋体" w:eastAsia="宋体"/>
          <w:b w:val="0"/>
          <w:bCs/>
          <w:color w:val="auto"/>
          <w:sz w:val="30"/>
          <w:highlight w:val="yellow"/>
          <w:lang w:val="en-US" w:eastAsia="zh-CN"/>
        </w:rPr>
      </w:pPr>
      <w:r>
        <w:rPr>
          <w:rFonts w:hint="eastAsia" w:hAnsi="宋体"/>
          <w:b w:val="0"/>
          <w:bCs/>
          <w:color w:val="auto"/>
          <w:sz w:val="30"/>
          <w:highlight w:val="none"/>
          <w:lang w:val="en-US" w:eastAsia="zh-CN"/>
        </w:rPr>
        <w:t>采购</w:t>
      </w:r>
      <w:r>
        <w:rPr>
          <w:rFonts w:hAnsi="宋体"/>
          <w:b w:val="0"/>
          <w:bCs/>
          <w:color w:val="auto"/>
          <w:sz w:val="30"/>
          <w:highlight w:val="none"/>
        </w:rPr>
        <w:t>编号：</w:t>
      </w:r>
      <w:r>
        <w:rPr>
          <w:rFonts w:hint="eastAsia" w:hAnsi="宋体"/>
          <w:b w:val="0"/>
          <w:bCs/>
          <w:color w:val="auto"/>
          <w:sz w:val="30"/>
          <w:highlight w:val="yellow"/>
          <w:lang w:eastAsia="zh-CN"/>
        </w:rPr>
        <w:t>GXWZZB2026-01-</w:t>
      </w:r>
      <w:r>
        <w:rPr>
          <w:rFonts w:hint="eastAsia" w:hAnsi="宋体"/>
          <w:b w:val="0"/>
          <w:bCs/>
          <w:color w:val="auto"/>
          <w:sz w:val="30"/>
          <w:highlight w:val="yellow"/>
          <w:lang w:val="en-US" w:eastAsia="zh-CN"/>
        </w:rPr>
        <w:t>22</w:t>
      </w:r>
    </w:p>
    <w:p>
      <w:pPr>
        <w:rPr>
          <w:rFonts w:hint="eastAsia"/>
          <w:b/>
          <w:color w:val="auto"/>
          <w:sz w:val="30"/>
          <w:highlight w:val="yellow"/>
          <w:u w:val="single"/>
        </w:rPr>
      </w:pPr>
      <w:r>
        <w:rPr>
          <w:rFonts w:hint="eastAsia" w:hAnsi="宋体"/>
          <w:b w:val="0"/>
          <w:bCs/>
          <w:color w:val="auto"/>
          <w:sz w:val="30"/>
          <w:highlight w:val="none"/>
          <w:lang w:val="en-US" w:eastAsia="zh-CN"/>
        </w:rPr>
        <w:t>采购</w:t>
      </w:r>
      <w:r>
        <w:rPr>
          <w:rFonts w:hAnsi="宋体"/>
          <w:b w:val="0"/>
          <w:bCs/>
          <w:color w:val="auto"/>
          <w:sz w:val="30"/>
          <w:highlight w:val="none"/>
        </w:rPr>
        <w:t>内容：</w:t>
      </w:r>
      <w:r>
        <w:rPr>
          <w:rFonts w:hint="eastAsia" w:hAnsi="宋体"/>
          <w:b w:val="0"/>
          <w:bCs/>
          <w:color w:val="auto"/>
          <w:sz w:val="30"/>
          <w:highlight w:val="none"/>
          <w:lang w:val="en-US" w:eastAsia="zh-CN"/>
        </w:rPr>
        <w:t>石家庄国祥公司</w:t>
      </w:r>
      <w:r>
        <w:rPr>
          <w:rFonts w:hint="eastAsia" w:hAnsi="宋体"/>
          <w:b w:val="0"/>
          <w:bCs/>
          <w:color w:val="auto"/>
          <w:sz w:val="30"/>
          <w:highlight w:val="yellow"/>
          <w:lang w:val="en-US" w:eastAsia="zh-CN"/>
        </w:rPr>
        <w:t>圣保罗1、2、3号线项目控制器及控制器IO模块</w:t>
      </w:r>
    </w:p>
    <w:p>
      <w:pPr>
        <w:jc w:val="both"/>
        <w:rPr>
          <w:rFonts w:hint="eastAsia"/>
          <w:b/>
          <w:color w:val="auto"/>
          <w:sz w:val="30"/>
          <w:highlight w:val="none"/>
        </w:rPr>
      </w:pPr>
    </w:p>
    <w:p>
      <w:pPr>
        <w:jc w:val="center"/>
        <w:rPr>
          <w:rFonts w:hint="eastAsia"/>
          <w:b/>
          <w:color w:val="auto"/>
          <w:sz w:val="30"/>
          <w:highlight w:val="yellow"/>
        </w:rPr>
        <w:sectPr>
          <w:footerReference r:id="rId6" w:type="first"/>
          <w:headerReference r:id="rId3" w:type="default"/>
          <w:footerReference r:id="rId4" w:type="default"/>
          <w:footerReference r:id="rId5" w:type="even"/>
          <w:pgSz w:w="11907" w:h="16840"/>
          <w:pgMar w:top="1418" w:right="1559" w:bottom="1418" w:left="1559" w:header="851" w:footer="992" w:gutter="284"/>
          <w:paperSrc w:first="61092" w:other="61092"/>
          <w:pgNumType w:fmt="numberInDash"/>
          <w:cols w:space="720" w:num="1"/>
          <w:titlePg/>
          <w:docGrid w:linePitch="367" w:charSpace="-265"/>
        </w:sectPr>
      </w:pPr>
      <w:r>
        <w:rPr>
          <w:rFonts w:hint="eastAsia"/>
          <w:b/>
          <w:color w:val="auto"/>
          <w:sz w:val="30"/>
          <w:highlight w:val="yellow"/>
        </w:rPr>
        <w:t>二〇二</w:t>
      </w:r>
      <w:r>
        <w:rPr>
          <w:rFonts w:hint="eastAsia"/>
          <w:b/>
          <w:color w:val="auto"/>
          <w:sz w:val="30"/>
          <w:highlight w:val="yellow"/>
          <w:lang w:val="en-US" w:eastAsia="zh-CN"/>
        </w:rPr>
        <w:t>六</w:t>
      </w:r>
      <w:r>
        <w:rPr>
          <w:rFonts w:hint="eastAsia"/>
          <w:b/>
          <w:color w:val="auto"/>
          <w:sz w:val="30"/>
          <w:highlight w:val="yellow"/>
        </w:rPr>
        <w:t>年</w:t>
      </w:r>
      <w:r>
        <w:rPr>
          <w:rFonts w:hint="eastAsia"/>
          <w:b/>
          <w:color w:val="auto"/>
          <w:sz w:val="30"/>
          <w:highlight w:val="yellow"/>
          <w:lang w:val="en-US" w:eastAsia="zh-CN"/>
        </w:rPr>
        <w:t>一</w:t>
      </w:r>
      <w:r>
        <w:rPr>
          <w:rFonts w:hint="eastAsia"/>
          <w:b/>
          <w:color w:val="auto"/>
          <w:sz w:val="30"/>
          <w:highlight w:val="yellow"/>
        </w:rPr>
        <w:t>月</w:t>
      </w:r>
    </w:p>
    <w:p>
      <w:pPr>
        <w:pStyle w:val="24"/>
        <w:spacing w:line="560" w:lineRule="atLeast"/>
        <w:jc w:val="center"/>
        <w:rPr>
          <w:rFonts w:hint="eastAsia"/>
          <w:b/>
          <w:color w:val="auto"/>
          <w:sz w:val="36"/>
          <w:highlight w:val="none"/>
        </w:rPr>
      </w:pPr>
      <w:r>
        <w:rPr>
          <w:b/>
          <w:color w:val="auto"/>
          <w:sz w:val="24"/>
          <w:highlight w:val="none"/>
        </w:rPr>
        <w:t xml:space="preserve">                                                                                                                        </w:t>
      </w:r>
      <w:r>
        <w:rPr>
          <w:rFonts w:hint="eastAsia"/>
          <w:b/>
          <w:color w:val="auto"/>
          <w:sz w:val="24"/>
          <w:highlight w:val="none"/>
        </w:rPr>
        <w:t xml:space="preserve">                                                                      </w:t>
      </w:r>
    </w:p>
    <w:p>
      <w:pPr>
        <w:adjustRightInd w:val="0"/>
        <w:snapToGrid w:val="0"/>
        <w:spacing w:line="640" w:lineRule="exact"/>
        <w:jc w:val="center"/>
        <w:rPr>
          <w:rFonts w:hint="eastAsia" w:ascii="黑体" w:eastAsia="黑体"/>
          <w:b/>
          <w:color w:val="auto"/>
          <w:sz w:val="32"/>
          <w:szCs w:val="32"/>
          <w:highlight w:val="none"/>
        </w:rPr>
      </w:pPr>
      <w:r>
        <w:rPr>
          <w:rFonts w:hint="eastAsia" w:ascii="黑体" w:eastAsia="黑体"/>
          <w:b/>
          <w:color w:val="auto"/>
          <w:sz w:val="32"/>
          <w:szCs w:val="32"/>
          <w:highlight w:val="none"/>
        </w:rPr>
        <w:t>目  录</w:t>
      </w:r>
    </w:p>
    <w:p>
      <w:pPr>
        <w:spacing w:line="400" w:lineRule="exact"/>
        <w:rPr>
          <w:rFonts w:hint="eastAsia" w:ascii="楷体_GB2312" w:eastAsia="楷体_GB2312"/>
          <w:b/>
          <w:color w:val="auto"/>
          <w:sz w:val="44"/>
          <w:highlight w:val="none"/>
        </w:rPr>
      </w:pPr>
    </w:p>
    <w:p>
      <w:pPr>
        <w:spacing w:line="400" w:lineRule="exact"/>
        <w:rPr>
          <w:rFonts w:hint="eastAsia" w:ascii="楷体_GB2312" w:eastAsia="楷体_GB2312"/>
          <w:b/>
          <w:color w:val="auto"/>
          <w:sz w:val="44"/>
          <w:highlight w:val="none"/>
        </w:rPr>
      </w:pPr>
    </w:p>
    <w:p>
      <w:pPr>
        <w:spacing w:line="400" w:lineRule="exact"/>
        <w:rPr>
          <w:rFonts w:hint="eastAsia" w:ascii="楷体_GB2312" w:eastAsia="楷体_GB2312"/>
          <w:b/>
          <w:color w:val="auto"/>
          <w:sz w:val="44"/>
          <w:highlight w:val="none"/>
        </w:rPr>
      </w:pPr>
    </w:p>
    <w:p>
      <w:pPr>
        <w:spacing w:line="480" w:lineRule="auto"/>
        <w:ind w:firstLine="600" w:firstLineChars="200"/>
        <w:rPr>
          <w:rFonts w:hint="eastAsia" w:ascii="宋体" w:hAnsi="宋体"/>
          <w:color w:val="auto"/>
          <w:sz w:val="30"/>
          <w:highlight w:val="none"/>
        </w:rPr>
      </w:pPr>
      <w:r>
        <w:rPr>
          <w:rFonts w:hint="eastAsia" w:ascii="宋体" w:hAnsi="宋体"/>
          <w:color w:val="auto"/>
          <w:sz w:val="30"/>
          <w:highlight w:val="none"/>
        </w:rPr>
        <w:t xml:space="preserve">1.   第一章    </w:t>
      </w:r>
      <w:r>
        <w:rPr>
          <w:rFonts w:hint="eastAsia" w:ascii="宋体" w:hAnsi="宋体"/>
          <w:color w:val="auto"/>
          <w:sz w:val="30"/>
          <w:highlight w:val="none"/>
          <w:lang w:eastAsia="zh-CN"/>
        </w:rPr>
        <w:t>采购通</w:t>
      </w:r>
      <w:r>
        <w:rPr>
          <w:rFonts w:hint="eastAsia" w:ascii="宋体" w:hAnsi="宋体"/>
          <w:color w:val="auto"/>
          <w:sz w:val="30"/>
          <w:highlight w:val="none"/>
        </w:rPr>
        <w:t>告</w:t>
      </w:r>
    </w:p>
    <w:p>
      <w:pPr>
        <w:spacing w:line="480" w:lineRule="auto"/>
        <w:ind w:firstLine="600" w:firstLineChars="200"/>
        <w:rPr>
          <w:rFonts w:hint="eastAsia" w:ascii="宋体" w:hAnsi="宋体"/>
          <w:color w:val="auto"/>
          <w:sz w:val="30"/>
          <w:highlight w:val="none"/>
        </w:rPr>
      </w:pPr>
      <w:r>
        <w:rPr>
          <w:rFonts w:hint="eastAsia" w:ascii="宋体" w:hAnsi="宋体"/>
          <w:color w:val="auto"/>
          <w:sz w:val="30"/>
          <w:highlight w:val="none"/>
        </w:rPr>
        <w:t xml:space="preserve">2.   第二章    </w:t>
      </w:r>
      <w:r>
        <w:rPr>
          <w:rFonts w:hint="eastAsia" w:ascii="宋体" w:hAnsi="宋体"/>
          <w:color w:val="auto"/>
          <w:sz w:val="30"/>
          <w:highlight w:val="none"/>
          <w:lang w:val="en-US" w:eastAsia="zh-CN"/>
        </w:rPr>
        <w:t>投标人</w:t>
      </w:r>
      <w:r>
        <w:rPr>
          <w:rFonts w:hint="eastAsia" w:ascii="宋体" w:hAnsi="宋体"/>
          <w:color w:val="auto"/>
          <w:sz w:val="30"/>
          <w:highlight w:val="none"/>
        </w:rPr>
        <w:t>须知</w:t>
      </w:r>
    </w:p>
    <w:p>
      <w:pPr>
        <w:spacing w:line="480" w:lineRule="auto"/>
        <w:ind w:left="570"/>
        <w:rPr>
          <w:rFonts w:hint="eastAsia" w:ascii="宋体" w:hAnsi="宋体"/>
          <w:color w:val="auto"/>
          <w:sz w:val="30"/>
          <w:highlight w:val="none"/>
        </w:rPr>
      </w:pPr>
      <w:r>
        <w:rPr>
          <w:rFonts w:hint="eastAsia" w:ascii="宋体" w:hAnsi="宋体"/>
          <w:color w:val="auto"/>
          <w:sz w:val="30"/>
          <w:highlight w:val="none"/>
        </w:rPr>
        <w:t xml:space="preserve">3.   第三章    </w:t>
      </w:r>
      <w:r>
        <w:rPr>
          <w:rFonts w:hint="eastAsia" w:ascii="宋体" w:hAnsi="宋体"/>
          <w:color w:val="auto"/>
          <w:sz w:val="30"/>
          <w:highlight w:val="none"/>
          <w:lang w:val="zh-CN"/>
        </w:rPr>
        <w:t>评标办法</w:t>
      </w:r>
    </w:p>
    <w:p>
      <w:pPr>
        <w:spacing w:line="480" w:lineRule="auto"/>
        <w:ind w:firstLine="600" w:firstLineChars="200"/>
        <w:rPr>
          <w:rFonts w:hint="eastAsia" w:ascii="宋体" w:hAnsi="宋体" w:eastAsia="宋体"/>
          <w:color w:val="auto"/>
          <w:sz w:val="30"/>
          <w:highlight w:val="none"/>
          <w:lang w:eastAsia="zh-CN"/>
        </w:rPr>
      </w:pPr>
      <w:r>
        <w:rPr>
          <w:rFonts w:hint="eastAsia" w:ascii="宋体" w:hAnsi="宋体"/>
          <w:color w:val="auto"/>
          <w:sz w:val="30"/>
          <w:highlight w:val="none"/>
        </w:rPr>
        <w:t>4.   第四章    投标文件格式</w:t>
      </w:r>
    </w:p>
    <w:p>
      <w:pPr>
        <w:spacing w:line="480" w:lineRule="auto"/>
        <w:ind w:left="570"/>
        <w:rPr>
          <w:rFonts w:hint="eastAsia" w:ascii="宋体" w:hAnsi="宋体"/>
          <w:color w:val="auto"/>
          <w:sz w:val="30"/>
          <w:highlight w:val="none"/>
        </w:rPr>
      </w:pPr>
      <w:r>
        <w:rPr>
          <w:rFonts w:hint="eastAsia" w:ascii="宋体" w:hAnsi="宋体"/>
          <w:color w:val="auto"/>
          <w:sz w:val="30"/>
          <w:highlight w:val="none"/>
        </w:rPr>
        <w:t xml:space="preserve">5.   第五章    </w:t>
      </w:r>
      <w:r>
        <w:rPr>
          <w:rFonts w:hint="eastAsia" w:ascii="宋体" w:hAnsi="宋体"/>
          <w:color w:val="auto"/>
          <w:sz w:val="30"/>
          <w:highlight w:val="none"/>
          <w:lang w:val="en-US" w:eastAsia="zh-CN"/>
        </w:rPr>
        <w:t>合同条款及格式</w:t>
      </w:r>
    </w:p>
    <w:p>
      <w:pPr>
        <w:pStyle w:val="24"/>
        <w:spacing w:line="240" w:lineRule="atLeast"/>
        <w:jc w:val="center"/>
        <w:rPr>
          <w:rFonts w:hint="eastAsia"/>
          <w:b/>
          <w:color w:val="auto"/>
          <w:sz w:val="36"/>
          <w:highlight w:val="none"/>
        </w:rPr>
      </w:pPr>
    </w:p>
    <w:p>
      <w:pPr>
        <w:pStyle w:val="24"/>
        <w:spacing w:line="240" w:lineRule="atLeast"/>
        <w:jc w:val="center"/>
        <w:rPr>
          <w:rFonts w:hint="eastAsia"/>
          <w:b/>
          <w:color w:val="auto"/>
          <w:sz w:val="36"/>
          <w:highlight w:val="none"/>
        </w:rPr>
      </w:pPr>
    </w:p>
    <w:p>
      <w:pPr>
        <w:pStyle w:val="24"/>
        <w:spacing w:line="440" w:lineRule="exact"/>
        <w:jc w:val="center"/>
        <w:rPr>
          <w:rFonts w:hint="eastAsia"/>
          <w:b/>
          <w:color w:val="auto"/>
          <w:sz w:val="36"/>
          <w:highlight w:val="none"/>
        </w:rPr>
      </w:pPr>
    </w:p>
    <w:p>
      <w:pPr>
        <w:pStyle w:val="24"/>
        <w:spacing w:line="440" w:lineRule="exact"/>
        <w:jc w:val="center"/>
        <w:rPr>
          <w:rFonts w:hint="eastAsia"/>
          <w:b/>
          <w:color w:val="auto"/>
          <w:sz w:val="36"/>
          <w:highlight w:val="none"/>
        </w:rPr>
      </w:pPr>
    </w:p>
    <w:p>
      <w:pPr>
        <w:pStyle w:val="24"/>
        <w:spacing w:line="440" w:lineRule="exact"/>
        <w:jc w:val="center"/>
        <w:rPr>
          <w:rFonts w:hint="eastAsia"/>
          <w:b/>
          <w:color w:val="auto"/>
          <w:sz w:val="36"/>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pStyle w:val="24"/>
        <w:spacing w:line="440" w:lineRule="exact"/>
        <w:jc w:val="center"/>
        <w:rPr>
          <w:rFonts w:hint="eastAsia" w:ascii="宋体" w:hAnsi="宋体"/>
          <w:b/>
          <w:color w:val="auto"/>
          <w:sz w:val="24"/>
          <w:szCs w:val="24"/>
          <w:highlight w:val="none"/>
        </w:rPr>
      </w:pPr>
    </w:p>
    <w:p>
      <w:pPr>
        <w:spacing w:line="240" w:lineRule="auto"/>
        <w:rPr>
          <w:rStyle w:val="68"/>
          <w:rFonts w:hint="eastAsia" w:ascii="仿宋" w:hAnsi="仿宋" w:eastAsia="仿宋" w:cs="仿宋"/>
          <w:color w:val="auto"/>
          <w:sz w:val="32"/>
          <w:szCs w:val="32"/>
          <w:highlight w:val="none"/>
          <w:shd w:val="clear" w:color="auto" w:fill="FFFFFF"/>
          <w:lang w:val="en-US" w:eastAsia="zh-CN"/>
        </w:rPr>
      </w:pPr>
    </w:p>
    <w:p>
      <w:pPr>
        <w:spacing w:line="240" w:lineRule="auto"/>
        <w:ind w:firstLine="2880" w:firstLineChars="900"/>
        <w:rPr>
          <w:rStyle w:val="68"/>
          <w:rFonts w:hint="eastAsia" w:ascii="仿宋" w:hAnsi="仿宋" w:eastAsia="仿宋" w:cs="仿宋"/>
          <w:color w:val="auto"/>
          <w:sz w:val="32"/>
          <w:szCs w:val="32"/>
          <w:highlight w:val="none"/>
          <w:shd w:val="clear" w:color="auto" w:fill="FFFFFF"/>
          <w:lang w:val="en-US" w:eastAsia="zh-CN"/>
        </w:rPr>
      </w:pPr>
      <w:r>
        <w:rPr>
          <w:rStyle w:val="68"/>
          <w:rFonts w:hint="eastAsia" w:ascii="仿宋" w:hAnsi="仿宋" w:eastAsia="仿宋" w:cs="仿宋"/>
          <w:color w:val="auto"/>
          <w:sz w:val="32"/>
          <w:szCs w:val="32"/>
          <w:highlight w:val="none"/>
          <w:shd w:val="clear" w:color="auto" w:fill="FFFFFF"/>
          <w:lang w:val="en-US" w:eastAsia="zh-CN"/>
        </w:rPr>
        <w:t>质量商务条款附页</w:t>
      </w:r>
    </w:p>
    <w:p>
      <w:pPr>
        <w:spacing w:line="240" w:lineRule="auto"/>
        <w:rPr>
          <w:rStyle w:val="68"/>
          <w:rFonts w:hint="eastAsia" w:ascii="仿宋" w:hAnsi="仿宋" w:eastAsia="仿宋" w:cs="仿宋"/>
          <w:color w:val="auto"/>
          <w:sz w:val="32"/>
          <w:szCs w:val="32"/>
          <w:highlight w:val="none"/>
          <w:shd w:val="clear" w:color="auto" w:fill="FFFFFF"/>
          <w:lang w:val="en-US" w:eastAsia="zh-CN"/>
        </w:rPr>
      </w:pPr>
    </w:p>
    <w:p>
      <w:pPr>
        <w:spacing w:line="240" w:lineRule="auto"/>
        <w:rPr>
          <w:rStyle w:val="68"/>
          <w:rFonts w:hint="eastAsia" w:ascii="仿宋" w:hAnsi="仿宋" w:eastAsia="仿宋" w:cs="仿宋"/>
          <w:color w:val="auto"/>
          <w:sz w:val="32"/>
          <w:szCs w:val="32"/>
          <w:highlight w:val="none"/>
          <w:shd w:val="clear" w:color="auto" w:fill="FFFFFF"/>
          <w:lang w:val="en-US" w:eastAsia="zh-CN"/>
        </w:rPr>
      </w:pPr>
    </w:p>
    <w:p>
      <w:pPr>
        <w:spacing w:line="240" w:lineRule="auto"/>
        <w:rPr>
          <w:rStyle w:val="68"/>
          <w:rFonts w:hint="eastAsia" w:ascii="仿宋" w:hAnsi="仿宋" w:eastAsia="仿宋" w:cs="仿宋"/>
          <w:color w:val="auto"/>
          <w:sz w:val="32"/>
          <w:szCs w:val="32"/>
          <w:highlight w:val="none"/>
          <w:shd w:val="clear" w:color="auto" w:fill="FFFFFF"/>
          <w:lang w:val="en-US" w:eastAsia="zh-CN"/>
        </w:rPr>
      </w:pPr>
    </w:p>
    <w:p>
      <w:pPr>
        <w:spacing w:line="240" w:lineRule="auto"/>
        <w:ind w:firstLine="640" w:firstLineChars="200"/>
        <w:rPr>
          <w:rStyle w:val="68"/>
          <w:rFonts w:hint="eastAsia" w:ascii="仿宋" w:hAnsi="仿宋" w:eastAsia="仿宋" w:cs="仿宋"/>
          <w:color w:val="auto"/>
          <w:sz w:val="32"/>
          <w:szCs w:val="32"/>
          <w:highlight w:val="none"/>
          <w:shd w:val="clear" w:color="auto" w:fill="FFFFFF"/>
          <w:lang w:val="en-US" w:eastAsia="zh-CN"/>
        </w:rPr>
      </w:pPr>
      <w:r>
        <w:rPr>
          <w:rStyle w:val="68"/>
          <w:rFonts w:hint="eastAsia" w:ascii="仿宋" w:hAnsi="仿宋" w:eastAsia="仿宋" w:cs="仿宋"/>
          <w:color w:val="auto"/>
          <w:sz w:val="32"/>
          <w:szCs w:val="32"/>
          <w:highlight w:val="none"/>
          <w:shd w:val="clear" w:color="auto" w:fill="FFFFFF"/>
          <w:lang w:val="en-US" w:eastAsia="zh-CN"/>
        </w:rPr>
        <w:t>此项目因供应商原因造成的国内外及海外售后相关损失均由供应商承担并提供承诺函放进标书附页内。</w:t>
      </w:r>
    </w:p>
    <w:p>
      <w:pPr>
        <w:pStyle w:val="24"/>
        <w:spacing w:line="440" w:lineRule="exact"/>
        <w:jc w:val="center"/>
        <w:rPr>
          <w:rFonts w:hint="eastAsia"/>
          <w:b/>
          <w:color w:val="auto"/>
          <w:sz w:val="48"/>
          <w:szCs w:val="48"/>
          <w:highlight w:val="none"/>
        </w:rPr>
      </w:pPr>
      <w:bookmarkStart w:id="183" w:name="_GoBack"/>
      <w:bookmarkEnd w:id="183"/>
      <w:r>
        <w:rPr>
          <w:rFonts w:hint="eastAsia" w:ascii="宋体" w:hAnsi="宋体"/>
          <w:b/>
          <w:color w:val="auto"/>
          <w:sz w:val="24"/>
          <w:szCs w:val="24"/>
          <w:highlight w:val="none"/>
        </w:rPr>
        <w:br w:type="page"/>
      </w:r>
      <w:r>
        <w:rPr>
          <w:rFonts w:hint="eastAsia" w:ascii="黑体" w:hAnsi="宋体" w:eastAsia="黑体" w:cs="Times New Roman"/>
          <w:b/>
          <w:color w:val="auto"/>
          <w:sz w:val="36"/>
          <w:szCs w:val="36"/>
          <w:highlight w:val="none"/>
          <w:lang w:val="en-US" w:eastAsia="zh-CN"/>
        </w:rPr>
        <w:t>第一章  采购通告</w:t>
      </w:r>
    </w:p>
    <w:p>
      <w:pPr>
        <w:pStyle w:val="24"/>
        <w:spacing w:line="440" w:lineRule="exact"/>
        <w:ind w:firstLine="480" w:firstLineChars="200"/>
        <w:rPr>
          <w:rFonts w:hint="eastAsia"/>
          <w:color w:val="auto"/>
          <w:sz w:val="24"/>
          <w:highlight w:val="none"/>
        </w:rPr>
      </w:pPr>
    </w:p>
    <w:p>
      <w:pPr>
        <w:pStyle w:val="42"/>
        <w:keepNext w:val="0"/>
        <w:keepLines w:val="0"/>
        <w:widowControl/>
        <w:suppressLineNumbers w:val="0"/>
        <w:pBdr>
          <w:top w:val="none" w:color="auto" w:sz="0" w:space="0"/>
          <w:left w:val="none" w:color="auto" w:sz="0" w:space="0"/>
          <w:bottom w:val="single" w:color="auto" w:sz="6" w:space="1"/>
          <w:right w:val="none" w:color="auto" w:sz="0" w:space="0"/>
        </w:pBdr>
        <w:autoSpaceDE w:val="0"/>
        <w:autoSpaceDN/>
        <w:adjustRightInd w:val="0"/>
        <w:snapToGrid w:val="0"/>
        <w:spacing w:before="0" w:beforeAutospacing="0" w:after="0" w:afterAutospacing="0"/>
        <w:ind w:left="0" w:right="0"/>
        <w:jc w:val="center"/>
        <w:rPr>
          <w:rFonts w:hint="default" w:ascii="CESI宋体-GB2312" w:hAnsi="CESI宋体-GB2312" w:eastAsia="CESI宋体-GB2312" w:cs="CESI宋体-GB2312"/>
          <w:vanish/>
          <w:kern w:val="2"/>
          <w:sz w:val="28"/>
          <w:szCs w:val="28"/>
        </w:rPr>
      </w:pPr>
      <w:r>
        <w:rPr>
          <w:rFonts w:hint="eastAsia" w:ascii="方正黑体_GBK" w:hAnsi="方正黑体_GBK" w:eastAsia="方正黑体_GBK" w:cs="方正黑体_GBK"/>
          <w:b/>
          <w:bCs w:val="0"/>
          <w:vanish/>
          <w:kern w:val="44"/>
          <w:sz w:val="40"/>
          <w:szCs w:val="40"/>
          <w:lang w:val="en-US" w:eastAsia="zh-CN" w:bidi="ar"/>
        </w:rPr>
        <w:t>(项目编号：         )</w:t>
      </w:r>
      <w:r>
        <w:rPr>
          <w:rFonts w:hint="default" w:ascii="CESI宋体-GB2312" w:hAnsi="CESI宋体-GB2312" w:eastAsia="CESI宋体-GB2312" w:cs="CESI宋体-GB2312"/>
          <w:vanish/>
          <w:kern w:val="2"/>
          <w:sz w:val="28"/>
          <w:szCs w:val="28"/>
          <w:lang w:val="en-US" w:eastAsia="zh-CN" w:bidi="ar"/>
        </w:rPr>
        <w:t>窗体顶端</w:t>
      </w:r>
    </w:p>
    <w:p>
      <w:pPr>
        <w:pStyle w:val="42"/>
        <w:keepNext w:val="0"/>
        <w:keepLines w:val="0"/>
        <w:widowControl/>
        <w:suppressLineNumbers w:val="0"/>
        <w:pBdr>
          <w:top w:val="none" w:color="auto" w:sz="0" w:space="0"/>
          <w:left w:val="none" w:color="auto" w:sz="0" w:space="0"/>
          <w:bottom w:val="single" w:color="auto" w:sz="6" w:space="1"/>
          <w:right w:val="none" w:color="auto" w:sz="0" w:space="0"/>
        </w:pBdr>
        <w:autoSpaceDE w:val="0"/>
        <w:autoSpaceDN/>
        <w:adjustRightInd w:val="0"/>
        <w:snapToGrid w:val="0"/>
        <w:spacing w:before="0" w:beforeAutospacing="0" w:after="0" w:afterAutospacing="0"/>
        <w:ind w:left="0" w:right="0"/>
        <w:jc w:val="center"/>
        <w:rPr>
          <w:rFonts w:hint="default" w:ascii="CESI宋体-GB2312" w:hAnsi="CESI宋体-GB2312" w:eastAsia="CESI宋体-GB2312" w:cs="CESI宋体-GB2312"/>
          <w:vanish/>
          <w:kern w:val="2"/>
          <w:sz w:val="28"/>
          <w:szCs w:val="28"/>
        </w:rPr>
      </w:pPr>
      <w:r>
        <w:rPr>
          <w:rFonts w:hint="default" w:ascii="CESI宋体-GB2312" w:hAnsi="CESI宋体-GB2312" w:eastAsia="CESI宋体-GB2312" w:cs="CESI宋体-GB2312"/>
          <w:vanish/>
          <w:kern w:val="2"/>
          <w:sz w:val="28"/>
          <w:szCs w:val="28"/>
          <w:lang w:val="en-US" w:eastAsia="zh-CN" w:bidi="ar"/>
        </w:rPr>
        <w:t>窗体顶端</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eastAsia" w:ascii="方正黑体_GBK" w:hAnsi="方正黑体_GBK" w:eastAsia="方正黑体_GBK" w:cs="方正黑体_GBK"/>
          <w:b w:val="0"/>
          <w:bCs w:val="0"/>
          <w:i w:val="0"/>
          <w:iCs w:val="0"/>
          <w:caps w:val="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一、采购条件</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本项目采购人为:</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default" w:ascii="CESI宋体-GB2312" w:hAnsi="CESI宋体-GB2312" w:eastAsia="CESI宋体-GB2312" w:cs="CESI宋体-GB2312"/>
          <w:b w:val="0"/>
          <w:i w:val="0"/>
          <w:kern w:val="0"/>
          <w:sz w:val="28"/>
          <w:szCs w:val="28"/>
          <w:u w:val="single"/>
          <w:shd w:val="clear" w:fill="FFFFFF"/>
          <w:lang w:val="en-US" w:eastAsia="zh-CN" w:bidi="ar"/>
        </w:rPr>
        <w:t>中车石家庄车辆有限公司】</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，资金来源为:</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eastAsia" w:ascii="CESI宋体-GB2312" w:hAnsi="CESI宋体-GB2312" w:eastAsia="CESI宋体-GB2312" w:cs="CESI宋体-GB2312"/>
          <w:i w:val="0"/>
          <w:iCs w:val="0"/>
          <w:caps w:val="0"/>
          <w:spacing w:val="0"/>
          <w:kern w:val="0"/>
          <w:sz w:val="28"/>
          <w:szCs w:val="28"/>
          <w:u w:val="single"/>
          <w:shd w:val="clear" w:fill="FFFFFF"/>
          <w:lang w:val="en-US" w:eastAsia="zh-CN" w:bidi="ar"/>
        </w:rPr>
        <w:t>企业自筹</w:t>
      </w:r>
      <w:r>
        <w:rPr>
          <w:rFonts w:hint="default" w:ascii="CESI宋体-GB2312" w:hAnsi="CESI宋体-GB2312" w:eastAsia="CESI宋体-GB2312" w:cs="CESI宋体-GB2312"/>
          <w:b w:val="0"/>
          <w:i w:val="0"/>
          <w:kern w:val="0"/>
          <w:sz w:val="28"/>
          <w:szCs w:val="28"/>
          <w:u w:val="single"/>
          <w:shd w:val="clear" w:fill="FFFFFF"/>
          <w:lang w:val="en-US" w:eastAsia="zh-CN" w:bidi="ar"/>
        </w:rPr>
        <w:t>】</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，出资比例：</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eastAsia" w:ascii="CESI宋体-GB2312" w:hAnsi="CESI宋体-GB2312" w:eastAsia="CESI宋体-GB2312" w:cs="CESI宋体-GB2312"/>
          <w:b w:val="0"/>
          <w:i w:val="0"/>
          <w:kern w:val="0"/>
          <w:sz w:val="28"/>
          <w:szCs w:val="28"/>
          <w:u w:val="single"/>
          <w:shd w:val="clear" w:fill="FFFFFF"/>
          <w:lang w:val="en-US" w:eastAsia="zh-CN" w:bidi="ar"/>
        </w:rPr>
        <w:t>100</w:t>
      </w:r>
      <w:r>
        <w:rPr>
          <w:rFonts w:hint="default" w:ascii="CESI宋体-GB2312" w:hAnsi="CESI宋体-GB2312" w:eastAsia="CESI宋体-GB2312" w:cs="CESI宋体-GB2312"/>
          <w:b w:val="0"/>
          <w:i w:val="0"/>
          <w:kern w:val="0"/>
          <w:sz w:val="28"/>
          <w:szCs w:val="28"/>
          <w:u w:val="single"/>
          <w:shd w:val="clear" w:fill="FFFFFF"/>
          <w:lang w:val="en-US" w:eastAsia="zh-CN" w:bidi="ar"/>
        </w:rPr>
        <w:t>】</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。本项目已具备采购条件，现对</w:t>
      </w:r>
      <w:r>
        <w:rPr>
          <w:rFonts w:hint="eastAsia" w:hAnsi="宋体"/>
          <w:b w:val="0"/>
          <w:bCs/>
          <w:color w:val="auto"/>
          <w:sz w:val="30"/>
          <w:highlight w:val="yellow"/>
          <w:lang w:val="en-US" w:eastAsia="zh-CN"/>
        </w:rPr>
        <w:t>圣保罗1、2、3号线项目控制器及控制器IO模块</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进行公开采购。采购方式为:</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default" w:ascii="CESI宋体-GB2312" w:hAnsi="CESI宋体-GB2312" w:eastAsia="CESI宋体-GB2312" w:cs="CESI宋体-GB2312"/>
          <w:b w:val="0"/>
          <w:i w:val="0"/>
          <w:kern w:val="0"/>
          <w:sz w:val="28"/>
          <w:szCs w:val="28"/>
          <w:u w:val="single"/>
          <w:shd w:val="clear" w:fill="FFFFFF"/>
          <w:lang w:val="en-US" w:eastAsia="zh-CN" w:bidi="ar"/>
        </w:rPr>
        <w:t>竞标式谈判】</w:t>
      </w:r>
      <w:r>
        <w:rPr>
          <w:rFonts w:hint="eastAsia" w:ascii="CESI宋体-GB2312" w:hAnsi="CESI宋体-GB2312" w:eastAsia="CESI宋体-GB2312" w:cs="CESI宋体-GB2312"/>
          <w:b w:val="0"/>
          <w:i w:val="0"/>
          <w:kern w:val="0"/>
          <w:sz w:val="28"/>
          <w:szCs w:val="28"/>
          <w:u w:val="single"/>
          <w:shd w:val="clear" w:fill="FFFFFF"/>
          <w:lang w:val="en-US" w:eastAsia="zh-CN" w:bidi="ar"/>
        </w:rPr>
        <w:t>，采购编号</w:t>
      </w:r>
      <w:r>
        <w:rPr>
          <w:rFonts w:hint="eastAsia" w:ascii="宋体" w:hAnsi="宋体" w:cs="宋体"/>
          <w:b/>
          <w:bCs/>
          <w:color w:val="FF0000"/>
          <w:spacing w:val="2"/>
          <w:sz w:val="28"/>
          <w:szCs w:val="28"/>
          <w:highlight w:val="yellow"/>
          <w:u w:val="single"/>
          <w:lang w:eastAsia="zh-CN"/>
        </w:rPr>
        <w:t>GXWZZB2026-01-</w:t>
      </w:r>
      <w:r>
        <w:rPr>
          <w:rFonts w:hint="eastAsia" w:ascii="宋体" w:hAnsi="宋体" w:cs="宋体"/>
          <w:b/>
          <w:bCs/>
          <w:color w:val="FF0000"/>
          <w:spacing w:val="2"/>
          <w:sz w:val="28"/>
          <w:szCs w:val="28"/>
          <w:highlight w:val="yellow"/>
          <w:u w:val="single"/>
          <w:lang w:val="en-US" w:eastAsia="zh-CN"/>
        </w:rPr>
        <w:t>22</w:t>
      </w:r>
      <w:r>
        <w:rPr>
          <w:rFonts w:hint="default" w:ascii="CESI宋体-GB2312" w:hAnsi="CESI宋体-GB2312" w:eastAsia="CESI宋体-GB2312" w:cs="CESI宋体-GB2312"/>
          <w:b w:val="0"/>
          <w:i w:val="0"/>
          <w:kern w:val="0"/>
          <w:sz w:val="28"/>
          <w:szCs w:val="28"/>
          <w:u w:val="single"/>
          <w:shd w:val="clear" w:fill="FFFFFF"/>
          <w:lang w:val="en-US" w:eastAsia="zh-CN" w:bidi="ar"/>
        </w:rPr>
        <w:t>。</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eastAsia" w:ascii="方正黑体_GBK" w:hAnsi="方正黑体_GBK" w:eastAsia="方正黑体_GBK" w:cs="方正黑体_GBK"/>
          <w:b w:val="0"/>
          <w:bCs w:val="0"/>
          <w:i w:val="0"/>
          <w:iCs w:val="0"/>
          <w:caps w:val="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二、项目概况与采购范围</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u w:val="single"/>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1.采购分类：</w:t>
      </w:r>
      <w:r>
        <w:rPr>
          <w:rFonts w:hint="default" w:ascii="CESI宋体-GB2312" w:hAnsi="CESI宋体-GB2312" w:eastAsia="CESI宋体-GB2312" w:cs="CESI宋体-GB2312"/>
          <w:i w:val="0"/>
          <w:iCs w:val="0"/>
          <w:caps w:val="0"/>
          <w:spacing w:val="0"/>
          <w:kern w:val="0"/>
          <w:sz w:val="28"/>
          <w:szCs w:val="28"/>
          <w:highlight w:val="yellow"/>
          <w:u w:val="single"/>
          <w:shd w:val="clear" w:fill="FFFFFF"/>
          <w:lang w:val="en-US" w:eastAsia="zh-CN" w:bidi="ar"/>
        </w:rPr>
        <w:t>【</w:t>
      </w:r>
      <w:r>
        <w:rPr>
          <w:rFonts w:hint="eastAsia" w:ascii="CESI宋体-GB2312" w:hAnsi="CESI宋体-GB2312" w:eastAsia="CESI宋体-GB2312" w:cs="CESI宋体-GB2312"/>
          <w:b w:val="0"/>
          <w:i w:val="0"/>
          <w:color w:val="FF0000"/>
          <w:kern w:val="0"/>
          <w:sz w:val="28"/>
          <w:szCs w:val="28"/>
          <w:highlight w:val="yellow"/>
          <w:u w:val="single"/>
          <w:shd w:val="clear" w:fill="FFFFFF"/>
          <w:lang w:val="en-US" w:eastAsia="zh-CN" w:bidi="ar"/>
        </w:rPr>
        <w:t>物资</w:t>
      </w:r>
      <w:r>
        <w:rPr>
          <w:rFonts w:hint="default" w:ascii="CESI宋体-GB2312" w:hAnsi="CESI宋体-GB2312" w:eastAsia="CESI宋体-GB2312" w:cs="CESI宋体-GB2312"/>
          <w:b w:val="0"/>
          <w:i w:val="0"/>
          <w:kern w:val="0"/>
          <w:sz w:val="28"/>
          <w:szCs w:val="28"/>
          <w:highlight w:val="yellow"/>
          <w:u w:val="single"/>
          <w:shd w:val="clear" w:fill="FFFFFF"/>
          <w:lang w:val="en-US" w:eastAsia="zh-CN" w:bidi="ar"/>
        </w:rPr>
        <w:t>】；</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highlight w:val="yellow"/>
          <w:u w:val="single"/>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2.所属板块：</w:t>
      </w:r>
      <w:r>
        <w:rPr>
          <w:rFonts w:hint="default" w:ascii="CESI宋体-GB2312" w:hAnsi="CESI宋体-GB2312" w:eastAsia="CESI宋体-GB2312" w:cs="CESI宋体-GB2312"/>
          <w:i w:val="0"/>
          <w:iCs w:val="0"/>
          <w:caps w:val="0"/>
          <w:spacing w:val="0"/>
          <w:kern w:val="0"/>
          <w:sz w:val="28"/>
          <w:szCs w:val="28"/>
          <w:highlight w:val="yellow"/>
          <w:u w:val="single"/>
          <w:shd w:val="clear" w:fill="FFFFFF"/>
          <w:lang w:val="en-US" w:eastAsia="zh-CN" w:bidi="ar"/>
        </w:rPr>
        <w:t>【</w:t>
      </w:r>
      <w:r>
        <w:rPr>
          <w:rFonts w:hint="eastAsia" w:ascii="CESI宋体-GB2312" w:hAnsi="CESI宋体-GB2312" w:eastAsia="CESI宋体-GB2312" w:cs="CESI宋体-GB2312"/>
          <w:i w:val="0"/>
          <w:iCs w:val="0"/>
          <w:caps w:val="0"/>
          <w:color w:val="FF0000"/>
          <w:spacing w:val="0"/>
          <w:kern w:val="0"/>
          <w:sz w:val="28"/>
          <w:szCs w:val="28"/>
          <w:highlight w:val="yellow"/>
          <w:u w:val="single"/>
          <w:shd w:val="clear" w:fill="FFFFFF"/>
          <w:lang w:val="en-US" w:eastAsia="zh-CN" w:bidi="ar"/>
        </w:rPr>
        <w:t>配套部件专用物资</w:t>
      </w:r>
      <w:r>
        <w:rPr>
          <w:rFonts w:hint="default" w:ascii="CESI宋体-GB2312" w:hAnsi="CESI宋体-GB2312" w:eastAsia="CESI宋体-GB2312" w:cs="CESI宋体-GB2312"/>
          <w:b w:val="0"/>
          <w:i w:val="0"/>
          <w:kern w:val="0"/>
          <w:sz w:val="28"/>
          <w:szCs w:val="28"/>
          <w:highlight w:val="yellow"/>
          <w:u w:val="single"/>
          <w:shd w:val="clear" w:fill="FFFFFF"/>
          <w:lang w:val="en-US" w:eastAsia="zh-CN" w:bidi="ar"/>
        </w:rPr>
        <w:t>】；</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3.采购品类：</w:t>
      </w:r>
      <w:r>
        <w:rPr>
          <w:rFonts w:hint="default" w:ascii="CESI宋体-GB2312" w:hAnsi="CESI宋体-GB2312" w:eastAsia="CESI宋体-GB2312" w:cs="CESI宋体-GB2312"/>
          <w:i w:val="0"/>
          <w:iCs w:val="0"/>
          <w:caps w:val="0"/>
          <w:spacing w:val="0"/>
          <w:kern w:val="0"/>
          <w:sz w:val="28"/>
          <w:szCs w:val="28"/>
          <w:highlight w:val="yellow"/>
          <w:u w:val="single"/>
          <w:shd w:val="clear" w:fill="FFFFFF"/>
          <w:lang w:val="en-US" w:eastAsia="zh-CN" w:bidi="ar"/>
        </w:rPr>
        <w:t>【kt-07-002</w:t>
      </w:r>
      <w:r>
        <w:rPr>
          <w:rFonts w:hint="default" w:ascii="CESI宋体-GB2312" w:hAnsi="CESI宋体-GB2312" w:eastAsia="CESI宋体-GB2312" w:cs="CESI宋体-GB2312"/>
          <w:b w:val="0"/>
          <w:i w:val="0"/>
          <w:kern w:val="0"/>
          <w:sz w:val="28"/>
          <w:szCs w:val="28"/>
          <w:highlight w:val="yellow"/>
          <w:u w:val="single"/>
          <w:shd w:val="clear" w:fill="FFFFFF"/>
          <w:lang w:val="en-US" w:eastAsia="zh-CN" w:bidi="ar"/>
        </w:rPr>
        <w:t>】；</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4.本项目概况为:详见标段内容</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5.采购范围</w:t>
      </w:r>
      <w:r>
        <w:rPr>
          <w:rFonts w:hint="eastAsia" w:ascii="CESI宋体-GB2312" w:hAnsi="CESI宋体-GB2312" w:eastAsia="CESI宋体-GB2312" w:cs="CESI宋体-GB2312"/>
          <w:b w:val="0"/>
          <w:i w:val="0"/>
          <w:color w:val="0070C0"/>
          <w:kern w:val="0"/>
          <w:sz w:val="28"/>
          <w:szCs w:val="28"/>
          <w:highlight w:val="yellow"/>
          <w:u w:val="single"/>
          <w:shd w:val="clear" w:fill="FFFFFF"/>
          <w:lang w:val="en-US" w:eastAsia="zh-CN" w:bidi="ar"/>
        </w:rPr>
        <w:t>（自动生成）</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tbl>
      <w:tblPr>
        <w:tblStyle w:val="60"/>
        <w:tblpPr w:leftFromText="180" w:rightFromText="180" w:vertAnchor="text" w:horzAnchor="page" w:tblpXSpec="center" w:tblpY="349"/>
        <w:tblOverlap w:val="never"/>
        <w:tblW w:w="10298" w:type="dxa"/>
        <w:jc w:val="center"/>
        <w:tblInd w:w="0" w:type="dxa"/>
        <w:tblLayout w:type="fixed"/>
        <w:tblCellMar>
          <w:top w:w="0" w:type="dxa"/>
          <w:left w:w="108" w:type="dxa"/>
          <w:bottom w:w="0" w:type="dxa"/>
          <w:right w:w="108" w:type="dxa"/>
        </w:tblCellMar>
      </w:tblPr>
      <w:tblGrid>
        <w:gridCol w:w="446"/>
        <w:gridCol w:w="1116"/>
        <w:gridCol w:w="1325"/>
        <w:gridCol w:w="1012"/>
        <w:gridCol w:w="1075"/>
        <w:gridCol w:w="1313"/>
        <w:gridCol w:w="537"/>
        <w:gridCol w:w="825"/>
        <w:gridCol w:w="1170"/>
        <w:gridCol w:w="1479"/>
      </w:tblGrid>
      <w:tr>
        <w:tblPrEx>
          <w:tblLayout w:type="fixed"/>
          <w:tblCellMar>
            <w:top w:w="0" w:type="dxa"/>
            <w:left w:w="108" w:type="dxa"/>
            <w:bottom w:w="0" w:type="dxa"/>
            <w:right w:w="108" w:type="dxa"/>
          </w:tblCellMar>
        </w:tblPrEx>
        <w:trPr>
          <w:trHeight w:val="649" w:hRule="atLeast"/>
          <w:jc w:val="center"/>
        </w:trPr>
        <w:tc>
          <w:tcPr>
            <w:tcW w:w="446"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序号</w:t>
            </w:r>
          </w:p>
        </w:tc>
        <w:tc>
          <w:tcPr>
            <w:tcW w:w="1116"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标段编号</w:t>
            </w:r>
          </w:p>
        </w:tc>
        <w:tc>
          <w:tcPr>
            <w:tcW w:w="1325"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物料编码</w:t>
            </w:r>
          </w:p>
        </w:tc>
        <w:tc>
          <w:tcPr>
            <w:tcW w:w="1012"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物资名称</w:t>
            </w:r>
          </w:p>
        </w:tc>
        <w:tc>
          <w:tcPr>
            <w:tcW w:w="1075"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规格</w:t>
            </w:r>
          </w:p>
        </w:tc>
        <w:tc>
          <w:tcPr>
            <w:tcW w:w="1313"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18"/>
                <w:szCs w:val="18"/>
                <w:lang w:bidi="ar"/>
              </w:rPr>
            </w:pPr>
            <w:r>
              <w:rPr>
                <w:rFonts w:hint="eastAsia" w:ascii="宋体" w:hAnsi="宋体" w:cs="宋体"/>
                <w:color w:val="000000"/>
                <w:sz w:val="18"/>
                <w:szCs w:val="18"/>
              </w:rPr>
              <w:t>技术</w:t>
            </w:r>
            <w:r>
              <w:rPr>
                <w:rFonts w:hint="eastAsia" w:ascii="宋体" w:hAnsi="宋体" w:cs="宋体"/>
                <w:color w:val="000000"/>
                <w:kern w:val="0"/>
                <w:sz w:val="16"/>
                <w:szCs w:val="16"/>
                <w:lang w:bidi="ar"/>
              </w:rPr>
              <w:t>标准</w:t>
            </w:r>
          </w:p>
        </w:tc>
        <w:tc>
          <w:tcPr>
            <w:tcW w:w="537"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单位</w:t>
            </w:r>
          </w:p>
        </w:tc>
        <w:tc>
          <w:tcPr>
            <w:tcW w:w="825"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拟招标数量</w:t>
            </w:r>
          </w:p>
        </w:tc>
        <w:tc>
          <w:tcPr>
            <w:tcW w:w="1170"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首批交货日期</w:t>
            </w:r>
          </w:p>
        </w:tc>
        <w:tc>
          <w:tcPr>
            <w:tcW w:w="1479"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备注</w:t>
            </w:r>
          </w:p>
        </w:tc>
      </w:tr>
      <w:tr>
        <w:tblPrEx>
          <w:tblLayout w:type="fixed"/>
          <w:tblCellMar>
            <w:top w:w="0" w:type="dxa"/>
            <w:left w:w="108" w:type="dxa"/>
            <w:bottom w:w="0" w:type="dxa"/>
            <w:right w:w="108" w:type="dxa"/>
          </w:tblCellMar>
        </w:tblPrEx>
        <w:trPr>
          <w:trHeight w:val="1822"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suppressLineNumbers w:val="0"/>
              <w:spacing w:before="0" w:beforeAutospacing="0" w:after="0" w:afterAutospacing="0"/>
              <w:ind w:left="0" w:right="0"/>
              <w:jc w:val="right"/>
              <w:rPr>
                <w:rFonts w:hint="eastAsia" w:ascii="宋体" w:hAnsi="宋体" w:cs="宋体"/>
                <w:color w:val="000000"/>
                <w:sz w:val="15"/>
                <w:szCs w:val="15"/>
              </w:rPr>
            </w:pPr>
            <w:r>
              <w:rPr>
                <w:rFonts w:hint="eastAsia" w:ascii="宋体" w:hAnsi="宋体" w:cs="宋体"/>
                <w:color w:val="000000"/>
                <w:sz w:val="15"/>
                <w:szCs w:val="15"/>
              </w:rPr>
              <w:t>1</w:t>
            </w:r>
          </w:p>
        </w:tc>
        <w:tc>
          <w:tcPr>
            <w:tcW w:w="111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GXWZZB2026-01-22-01</w:t>
            </w:r>
          </w:p>
        </w:tc>
        <w:tc>
          <w:tcPr>
            <w:tcW w:w="132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控制器</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KPC18-02型符合技术条件TR000574</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技术条件TR000574</w:t>
            </w:r>
          </w:p>
        </w:tc>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 xml:space="preserve">  690</w:t>
            </w:r>
          </w:p>
        </w:tc>
        <w:tc>
          <w:tcPr>
            <w:tcW w:w="11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color w:val="000000"/>
                <w:kern w:val="0"/>
                <w:sz w:val="18"/>
                <w:szCs w:val="18"/>
                <w:lang w:val="en-US" w:eastAsia="zh-CN" w:bidi="ar"/>
              </w:rPr>
              <w:t>2026/2/7</w:t>
            </w:r>
          </w:p>
        </w:tc>
        <w:tc>
          <w:tcPr>
            <w:tcW w:w="147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样机4台</w:t>
            </w:r>
            <w:r>
              <w:rPr>
                <w:rFonts w:hint="eastAsia" w:ascii="宋体" w:hAnsi="宋体" w:eastAsia="宋体" w:cs="宋体"/>
                <w:color w:val="000000"/>
                <w:kern w:val="0"/>
                <w:sz w:val="18"/>
                <w:szCs w:val="18"/>
                <w:lang w:val="en-US" w:eastAsia="zh-CN" w:bidi="ar"/>
              </w:rPr>
              <w:t>2026/2/</w:t>
            </w:r>
            <w:r>
              <w:rPr>
                <w:rFonts w:hint="eastAsia" w:ascii="宋体" w:hAnsi="宋体" w:cs="宋体"/>
                <w:color w:val="000000"/>
                <w:kern w:val="0"/>
                <w:sz w:val="18"/>
                <w:szCs w:val="18"/>
                <w:lang w:val="en-US" w:eastAsia="zh-CN" w:bidi="ar"/>
              </w:rPr>
              <w:t>7</w:t>
            </w:r>
            <w:r>
              <w:rPr>
                <w:rFonts w:hint="eastAsia" w:ascii="宋体" w:hAnsi="宋体" w:eastAsia="宋体" w:cs="宋体"/>
                <w:color w:val="000000"/>
                <w:kern w:val="0"/>
                <w:sz w:val="18"/>
                <w:szCs w:val="18"/>
                <w:lang w:val="en-US" w:eastAsia="zh-CN" w:bidi="ar"/>
              </w:rPr>
              <w:t>到货国祥</w:t>
            </w:r>
            <w:r>
              <w:rPr>
                <w:rFonts w:hint="eastAsia" w:ascii="宋体" w:hAnsi="宋体" w:cs="宋体"/>
                <w:color w:val="000000"/>
                <w:kern w:val="0"/>
                <w:sz w:val="18"/>
                <w:szCs w:val="18"/>
                <w:lang w:val="en-US" w:eastAsia="zh-CN" w:bidi="ar"/>
              </w:rPr>
              <w:t>，首批物料（1列）14台2026-3-15到货国祥，其余根据国祥公司生产计划到货</w:t>
            </w:r>
          </w:p>
        </w:tc>
      </w:tr>
      <w:tr>
        <w:tblPrEx>
          <w:tblLayout w:type="fixed"/>
          <w:tblCellMar>
            <w:top w:w="0" w:type="dxa"/>
            <w:left w:w="108" w:type="dxa"/>
            <w:bottom w:w="0" w:type="dxa"/>
            <w:right w:w="108" w:type="dxa"/>
          </w:tblCellMar>
        </w:tblPrEx>
        <w:trPr>
          <w:trHeight w:val="1267" w:hRule="atLeast"/>
          <w:jc w:val="center"/>
        </w:trPr>
        <w:tc>
          <w:tcPr>
            <w:tcW w:w="44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suppressLineNumbers w:val="0"/>
              <w:spacing w:before="0" w:beforeAutospacing="0" w:after="0" w:afterAutospacing="0"/>
              <w:ind w:left="0" w:right="0"/>
              <w:jc w:val="right"/>
              <w:rPr>
                <w:rFonts w:hint="eastAsia" w:ascii="宋体" w:hAnsi="宋体" w:eastAsia="宋体" w:cs="宋体"/>
                <w:color w:val="000000"/>
                <w:sz w:val="15"/>
                <w:szCs w:val="15"/>
                <w:lang w:val="en-US" w:eastAsia="zh-CN"/>
              </w:rPr>
            </w:pPr>
            <w:r>
              <w:rPr>
                <w:rFonts w:hint="eastAsia" w:ascii="宋体" w:hAnsi="宋体" w:cs="宋体"/>
                <w:color w:val="000000"/>
                <w:sz w:val="15"/>
                <w:szCs w:val="15"/>
                <w:lang w:val="en-US" w:eastAsia="zh-CN"/>
              </w:rPr>
              <w:t>2</w:t>
            </w:r>
          </w:p>
        </w:tc>
        <w:tc>
          <w:tcPr>
            <w:tcW w:w="111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GXWZZB2026-01-22-02</w:t>
            </w:r>
          </w:p>
        </w:tc>
        <w:tc>
          <w:tcPr>
            <w:tcW w:w="132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2"/>
                <w:sz w:val="22"/>
                <w:szCs w:val="22"/>
                <w:u w:val="none"/>
                <w:lang w:val="en-US" w:eastAsia="zh-CN" w:bidi="ar-SA"/>
              </w:rPr>
              <w:t>/</w:t>
            </w:r>
          </w:p>
        </w:tc>
        <w:tc>
          <w:tcPr>
            <w:tcW w:w="1012"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控制器IO模块</w:t>
            </w:r>
          </w:p>
        </w:tc>
        <w:tc>
          <w:tcPr>
            <w:tcW w:w="107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圣保罗1、2、3号线项目控制器IO模块 符合技术条件TR000802</w:t>
            </w:r>
          </w:p>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或TR001259</w:t>
            </w:r>
          </w:p>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或TR001260</w:t>
            </w:r>
          </w:p>
        </w:tc>
        <w:tc>
          <w:tcPr>
            <w:tcW w:w="1313"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技术条件TR000802</w:t>
            </w:r>
          </w:p>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或TR001259</w:t>
            </w:r>
          </w:p>
          <w:p>
            <w:pPr>
              <w:keepNext w:val="0"/>
              <w:keepLines w:val="0"/>
              <w:widowControl/>
              <w:suppressLineNumbers w:val="0"/>
              <w:spacing w:before="0" w:beforeAutospacing="0" w:after="0" w:afterAutospacing="0"/>
              <w:ind w:left="0" w:right="0"/>
              <w:jc w:val="left"/>
              <w:textAlignment w:val="bottom"/>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或TR001260</w:t>
            </w:r>
          </w:p>
        </w:tc>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个</w:t>
            </w:r>
          </w:p>
        </w:tc>
        <w:tc>
          <w:tcPr>
            <w:tcW w:w="825" w:type="dxa"/>
            <w:tcBorders>
              <w:top w:val="single" w:color="auto" w:sz="4" w:space="0"/>
              <w:left w:val="single" w:color="auto" w:sz="4" w:space="0"/>
              <w:bottom w:val="single" w:color="auto" w:sz="4" w:space="0"/>
              <w:right w:val="single" w:color="auto" w:sz="4" w:space="0"/>
            </w:tcBorders>
            <w:shd w:val="clear" w:color="auto" w:fill="auto"/>
            <w:vAlign w:val="bottom"/>
          </w:tcPr>
          <w:p>
            <w:pPr>
              <w:keepNext w:val="0"/>
              <w:keepLines w:val="0"/>
              <w:widowControl/>
              <w:suppressLineNumbers w:val="0"/>
              <w:spacing w:before="0" w:beforeAutospacing="0" w:after="0" w:afterAutospacing="0"/>
              <w:ind w:left="0" w:right="0"/>
              <w:jc w:val="left"/>
              <w:textAlignment w:val="bottom"/>
              <w:rPr>
                <w:rFonts w:hint="default"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 xml:space="preserve"> 690</w:t>
            </w:r>
          </w:p>
        </w:tc>
        <w:tc>
          <w:tcPr>
            <w:tcW w:w="11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color w:val="000000"/>
                <w:kern w:val="0"/>
                <w:sz w:val="18"/>
                <w:szCs w:val="18"/>
                <w:lang w:val="en-US" w:eastAsia="zh-CN" w:bidi="ar"/>
              </w:rPr>
              <w:t>2026/2/7</w:t>
            </w:r>
          </w:p>
        </w:tc>
        <w:tc>
          <w:tcPr>
            <w:tcW w:w="147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样机2台</w:t>
            </w:r>
            <w:r>
              <w:rPr>
                <w:rFonts w:hint="eastAsia" w:ascii="宋体" w:hAnsi="宋体" w:eastAsia="宋体" w:cs="宋体"/>
                <w:color w:val="000000"/>
                <w:kern w:val="0"/>
                <w:sz w:val="18"/>
                <w:szCs w:val="18"/>
                <w:lang w:val="en-US" w:eastAsia="zh-CN" w:bidi="ar"/>
              </w:rPr>
              <w:t>2026/2/</w:t>
            </w:r>
            <w:r>
              <w:rPr>
                <w:rFonts w:hint="eastAsia" w:ascii="宋体" w:hAnsi="宋体" w:cs="宋体"/>
                <w:color w:val="000000"/>
                <w:kern w:val="0"/>
                <w:sz w:val="18"/>
                <w:szCs w:val="18"/>
                <w:lang w:val="en-US" w:eastAsia="zh-CN" w:bidi="ar"/>
              </w:rPr>
              <w:t>7</w:t>
            </w:r>
            <w:r>
              <w:rPr>
                <w:rFonts w:hint="eastAsia" w:ascii="宋体" w:hAnsi="宋体" w:eastAsia="宋体" w:cs="宋体"/>
                <w:color w:val="000000"/>
                <w:kern w:val="0"/>
                <w:sz w:val="18"/>
                <w:szCs w:val="18"/>
                <w:lang w:val="en-US" w:eastAsia="zh-CN" w:bidi="ar"/>
              </w:rPr>
              <w:t>到货国祥</w:t>
            </w:r>
            <w:r>
              <w:rPr>
                <w:rFonts w:hint="eastAsia" w:ascii="宋体" w:hAnsi="宋体" w:cs="宋体"/>
                <w:color w:val="000000"/>
                <w:kern w:val="0"/>
                <w:sz w:val="18"/>
                <w:szCs w:val="18"/>
                <w:lang w:val="en-US" w:eastAsia="zh-CN" w:bidi="ar"/>
              </w:rPr>
              <w:t>，首批物料（1列）14台2026-3-15到货国祥，其余根据国祥公司生产计划到货</w:t>
            </w:r>
          </w:p>
        </w:tc>
      </w:tr>
    </w:tbl>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 xml:space="preserve">7.交货地点： </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eastAsia" w:ascii="CESI宋体-GB2312" w:hAnsi="CESI宋体-GB2312" w:eastAsia="CESI宋体-GB2312" w:cs="CESI宋体-GB2312"/>
          <w:i w:val="0"/>
          <w:iCs w:val="0"/>
          <w:caps w:val="0"/>
          <w:spacing w:val="0"/>
          <w:kern w:val="0"/>
          <w:sz w:val="28"/>
          <w:szCs w:val="28"/>
          <w:u w:val="single"/>
          <w:shd w:val="clear" w:fill="FFFFFF"/>
          <w:lang w:val="en-US" w:eastAsia="zh-CN" w:bidi="ar"/>
        </w:rPr>
        <w:t>石家庄国祥运输设备有限公司</w:t>
      </w:r>
      <w:r>
        <w:rPr>
          <w:rFonts w:hint="default" w:ascii="CESI宋体-GB2312" w:hAnsi="CESI宋体-GB2312" w:eastAsia="CESI宋体-GB2312" w:cs="CESI宋体-GB2312"/>
          <w:b w:val="0"/>
          <w:i w:val="0"/>
          <w:kern w:val="0"/>
          <w:sz w:val="28"/>
          <w:szCs w:val="28"/>
          <w:u w:val="single"/>
          <w:shd w:val="clear" w:fill="FFFFFF"/>
          <w:lang w:val="en-US" w:eastAsia="zh-CN" w:bidi="ar"/>
        </w:rPr>
        <w:t>】</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w:t>
      </w:r>
    </w:p>
    <w:p>
      <w:pPr>
        <w:keepNext w:val="0"/>
        <w:keepLines w:val="0"/>
        <w:widowControl/>
        <w:suppressLineNumbers w:val="0"/>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kern w:val="2"/>
          <w:sz w:val="28"/>
          <w:szCs w:val="28"/>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8.质量标准要求或主要技术性能指标：</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 xml:space="preserve"> 【</w:t>
      </w:r>
      <w:r>
        <w:rPr>
          <w:rFonts w:hint="default" w:ascii="CESI宋体-GB2312" w:hAnsi="CESI宋体-GB2312" w:eastAsia="CESI宋体-GB2312" w:cs="CESI宋体-GB2312"/>
          <w:i w:val="0"/>
          <w:iCs w:val="0"/>
          <w:caps w:val="0"/>
          <w:color w:val="0070C0"/>
          <w:spacing w:val="0"/>
          <w:kern w:val="0"/>
          <w:sz w:val="28"/>
          <w:szCs w:val="28"/>
          <w:u w:val="single"/>
          <w:shd w:val="clear" w:fill="FFFFFF"/>
          <w:lang w:val="en-US" w:eastAsia="zh-CN" w:bidi="ar"/>
        </w:rPr>
        <w:t>见附件1：项目技术要求</w:t>
      </w:r>
      <w:r>
        <w:rPr>
          <w:rFonts w:hint="default" w:ascii="CESI宋体-GB2312" w:hAnsi="CESI宋体-GB2312" w:eastAsia="CESI宋体-GB2312" w:cs="CESI宋体-GB2312"/>
          <w:b w:val="0"/>
          <w:i w:val="0"/>
          <w:kern w:val="2"/>
          <w:sz w:val="28"/>
          <w:szCs w:val="28"/>
          <w:u w:val="single"/>
          <w:lang w:val="en-US" w:eastAsia="zh-CN" w:bidi="ar"/>
        </w:rPr>
        <w:t>】  。</w:t>
      </w:r>
    </w:p>
    <w:p>
      <w:pPr>
        <w:keepNext w:val="0"/>
        <w:keepLines w:val="0"/>
        <w:widowControl/>
        <w:suppressLineNumbers w:val="0"/>
        <w:autoSpaceDE w:val="0"/>
        <w:autoSpaceDN/>
        <w:adjustRightInd w:val="0"/>
        <w:snapToGrid w:val="0"/>
        <w:spacing w:before="0" w:beforeAutospacing="0" w:after="0" w:afterAutospacing="0" w:line="560" w:lineRule="exact"/>
        <w:ind w:left="0" w:right="0" w:firstLine="560" w:firstLineChars="200"/>
        <w:jc w:val="left"/>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9.其他：</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 xml:space="preserve"> </w:t>
      </w:r>
      <w:r>
        <w:rPr>
          <w:rFonts w:hint="default" w:ascii="CESI宋体-GB2312" w:hAnsi="CESI宋体-GB2312" w:eastAsia="CESI宋体-GB2312" w:cs="CESI宋体-GB2312"/>
          <w:i w:val="0"/>
          <w:iCs w:val="0"/>
          <w:caps w:val="0"/>
          <w:spacing w:val="0"/>
          <w:kern w:val="0"/>
          <w:sz w:val="28"/>
          <w:szCs w:val="28"/>
          <w:highlight w:val="yellow"/>
          <w:u w:val="single"/>
          <w:shd w:val="clear" w:fill="FFFFFF"/>
          <w:lang w:val="en-US" w:eastAsia="zh-CN" w:bidi="ar"/>
        </w:rPr>
        <w:t>【投标方需为我司合格供应商</w:t>
      </w:r>
      <w:r>
        <w:rPr>
          <w:rFonts w:hint="default" w:ascii="CESI宋体-GB2312" w:hAnsi="CESI宋体-GB2312" w:eastAsia="CESI宋体-GB2312" w:cs="CESI宋体-GB2312"/>
          <w:b w:val="0"/>
          <w:i w:val="0"/>
          <w:kern w:val="2"/>
          <w:sz w:val="28"/>
          <w:szCs w:val="28"/>
          <w:highlight w:val="yellow"/>
          <w:u w:val="single"/>
          <w:lang w:val="en-US" w:eastAsia="zh-CN" w:bidi="ar"/>
        </w:rPr>
        <w:t>】</w:t>
      </w:r>
      <w:r>
        <w:rPr>
          <w:rFonts w:hint="default" w:ascii="CESI宋体-GB2312" w:hAnsi="CESI宋体-GB2312" w:eastAsia="CESI宋体-GB2312" w:cs="CESI宋体-GB2312"/>
          <w:b w:val="0"/>
          <w:i w:val="0"/>
          <w:kern w:val="2"/>
          <w:sz w:val="28"/>
          <w:szCs w:val="28"/>
          <w:u w:val="single"/>
          <w:lang w:val="en-US" w:eastAsia="zh-CN" w:bidi="ar"/>
        </w:rPr>
        <w:t xml:space="preserve">    </w:t>
      </w:r>
    </w:p>
    <w:p>
      <w:pPr>
        <w:pStyle w:val="42"/>
        <w:keepNext w:val="0"/>
        <w:keepLines w:val="0"/>
        <w:widowControl/>
        <w:suppressLineNumbers w:val="0"/>
        <w:shd w:val="clear" w:fill="FFFFFF"/>
        <w:autoSpaceDE w:val="0"/>
        <w:autoSpaceDN/>
        <w:adjustRightInd w:val="0"/>
        <w:snapToGrid w:val="0"/>
        <w:spacing w:before="0" w:beforeAutospacing="0" w:after="0" w:afterAutospacing="0" w:line="560" w:lineRule="exact"/>
        <w:ind w:left="0" w:right="0" w:firstLine="560" w:firstLineChars="200"/>
        <w:jc w:val="left"/>
        <w:rPr>
          <w:rFonts w:hint="eastAsia" w:ascii="方正黑体_GBK" w:hAnsi="方正黑体_GBK" w:eastAsia="方正黑体_GBK" w:cs="方正黑体_GBK"/>
          <w:b w:val="0"/>
          <w:bCs w:val="0"/>
          <w:i w:val="0"/>
          <w:iCs w:val="0"/>
          <w:caps w:val="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三、供应商资格要求</w:t>
      </w:r>
    </w:p>
    <w:p>
      <w:pPr>
        <w:widowControl/>
        <w:kinsoku w:val="0"/>
        <w:autoSpaceDE w:val="0"/>
        <w:autoSpaceDN w:val="0"/>
        <w:adjustRightInd w:val="0"/>
        <w:snapToGrid w:val="0"/>
        <w:spacing w:line="360" w:lineRule="auto"/>
        <w:jc w:val="left"/>
        <w:textAlignment w:val="baseline"/>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1.资格要求</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rightChars="0" w:firstLine="560"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1.1.基本要求。（1）供应商应为中华人民共和国境内依法注册的企业或事业单位，在中华人民共和国境内注册且具有独立企业法人资格，具备独立承担民事责任的能力，供应商应提供有效营业执照或事业单位法人证书。符合投标项目经营范围，经税务部门核准登记的一般纳税人。（2）</w:t>
      </w:r>
      <w:r>
        <w:rPr>
          <w:rFonts w:hint="default" w:ascii="CESI宋体-GB2312" w:hAnsi="CESI宋体-GB2312" w:eastAsia="CESI宋体-GB2312" w:cs="CESI宋体-GB2312"/>
          <w:kern w:val="0"/>
          <w:sz w:val="28"/>
          <w:szCs w:val="28"/>
          <w:shd w:val="clear" w:fill="FFFFFF"/>
          <w:lang w:val="en-US" w:eastAsia="zh-CN" w:bidi="ar"/>
        </w:rPr>
        <w:t>如作为代理商参与，供应商须具有制造商的相关品类或品牌的代理授权书。</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（3）如有节能、环保、双碳、ESG要求的，应符合国际、国家的相关标准要求。</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1.2.合格供应商。供应商应具有与本项目采购货物相应的经营许可。应有职业健康安全管理体系认证证书、环境管理体系认证证书，质量管理体系认证证书等，并提供有效的资质文件。供应商应满足本行业环保要求，并提供证明。</w:t>
      </w:r>
    </w:p>
    <w:p>
      <w:pPr>
        <w:pStyle w:val="27"/>
        <w:keepNext w:val="0"/>
        <w:keepLines w:val="0"/>
        <w:pageBreakBefore w:val="0"/>
        <w:widowControl w:val="0"/>
        <w:shd w:val="clear" w:color="auto" w:fill="FFFFFF"/>
        <w:kinsoku/>
        <w:wordWrap/>
        <w:overflowPunct/>
        <w:topLinePunct w:val="0"/>
        <w:autoSpaceDN/>
        <w:bidi w:val="0"/>
        <w:snapToGrid/>
        <w:spacing w:beforeAutospacing="0" w:afterAutospacing="0" w:line="560" w:lineRule="exact"/>
        <w:ind w:left="0" w:firstLine="560" w:firstLineChars="200"/>
        <w:textAlignment w:val="auto"/>
        <w:rPr>
          <w:rFonts w:hint="default" w:ascii="CESI宋体-GB2312" w:hAnsi="CESI宋体-GB2312" w:eastAsia="CESI宋体-GB2312" w:cs="CESI宋体-GB2312"/>
          <w:i w:val="0"/>
          <w:iCs w:val="0"/>
          <w:caps w:val="0"/>
          <w:spacing w:val="0"/>
          <w:kern w:val="0"/>
          <w:sz w:val="28"/>
          <w:szCs w:val="28"/>
          <w:highlight w:val="none"/>
          <w:shd w:val="clear" w:fill="FFFFFF"/>
          <w:lang w:val="en-US" w:eastAsia="zh-CN" w:bidi="ar"/>
        </w:rPr>
      </w:pPr>
      <w:r>
        <w:rPr>
          <w:rFonts w:hint="eastAsia" w:ascii="CESI宋体-GB2312" w:hAnsi="CESI宋体-GB2312" w:eastAsia="CESI宋体-GB2312" w:cs="CESI宋体-GB2312"/>
          <w:i w:val="0"/>
          <w:iCs w:val="0"/>
          <w:caps w:val="0"/>
          <w:spacing w:val="0"/>
          <w:kern w:val="0"/>
          <w:sz w:val="28"/>
          <w:szCs w:val="28"/>
          <w:highlight w:val="none"/>
          <w:shd w:val="clear" w:fill="FFFFFF"/>
          <w:lang w:val="en-US" w:eastAsia="zh-CN" w:bidi="ar"/>
        </w:rPr>
        <w:t xml:space="preserve">1.3 </w:t>
      </w:r>
      <w:r>
        <w:rPr>
          <w:rFonts w:hint="eastAsia" w:ascii="宋体" w:hAnsi="宋体" w:eastAsia="宋体" w:cs="宋体"/>
          <w:color w:val="auto"/>
          <w:sz w:val="28"/>
          <w:szCs w:val="28"/>
          <w:highlight w:val="none"/>
          <w:lang w:val="en-US" w:eastAsia="zh-CN"/>
        </w:rPr>
        <w:t>业绩要求：</w:t>
      </w:r>
      <w:r>
        <w:rPr>
          <w:rFonts w:hint="eastAsia" w:ascii="宋体" w:hAnsi="宋体" w:eastAsia="宋体" w:cs="宋体"/>
          <w:color w:val="auto"/>
          <w:sz w:val="28"/>
          <w:szCs w:val="28"/>
          <w:highlight w:val="none"/>
          <w:lang w:eastAsia="zh-CN"/>
        </w:rPr>
        <w:t>供应商须出具相关合同复印件（含合同收尾页、盖章页、项目内容</w:t>
      </w:r>
      <w:r>
        <w:rPr>
          <w:rFonts w:hint="eastAsia" w:ascii="宋体" w:hAnsi="宋体" w:eastAsia="宋体" w:cs="宋体"/>
          <w:color w:val="auto"/>
          <w:sz w:val="28"/>
          <w:szCs w:val="28"/>
          <w:highlight w:val="none"/>
          <w:lang w:val="en-US" w:eastAsia="zh-CN"/>
        </w:rPr>
        <w:t>等</w:t>
      </w:r>
      <w:r>
        <w:rPr>
          <w:rFonts w:hint="eastAsia" w:ascii="宋体" w:hAnsi="宋体" w:eastAsia="宋体" w:cs="宋体"/>
          <w:color w:val="auto"/>
          <w:sz w:val="28"/>
          <w:szCs w:val="28"/>
          <w:highlight w:val="none"/>
          <w:lang w:eastAsia="zh-CN"/>
        </w:rPr>
        <w:t>）。</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42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1.</w:t>
      </w:r>
      <w:r>
        <w:rPr>
          <w:rFonts w:hint="eastAsia" w:ascii="CESI宋体-GB2312" w:hAnsi="CESI宋体-GB2312" w:eastAsia="CESI宋体-GB2312" w:cs="CESI宋体-GB2312"/>
          <w:i w:val="0"/>
          <w:iCs w:val="0"/>
          <w:caps w:val="0"/>
          <w:spacing w:val="0"/>
          <w:kern w:val="0"/>
          <w:sz w:val="28"/>
          <w:szCs w:val="28"/>
          <w:shd w:val="clear" w:fill="FFFFFF"/>
          <w:lang w:val="en-US" w:eastAsia="zh-CN" w:bidi="ar"/>
        </w:rPr>
        <w:t>4</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信誉要求：供应商应同时符合下列条件，并提供在以下网站中的查询结果截图：</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42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（1）当前供应商未被最高人民法院在“信用中国”网站（www.creditchina.gov.cn）或各级信用信息共享平台中列入失信被执行人名单。</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42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（2）当前供应商未被工商行政管理机关在“国家企业信用信息公示系统”（www.gsxt.gov.cn）列入严重违法失信企业名单；（事业单位不适用）</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42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（3）当前供应商未被工商行政管理机关在“国家企业信用信息公示系统”列入经营异常名录，无可能影响其履约能力的经营风险信息；（事业单位不适用）</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42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（4）当前供应商未被工商行政管理机关在“国家企业信用信息公示系统”列入行政处罚（责令停产停业、暂扣或者吊销执照、暂扣或者吊销许可证、资质证书等）企业名单。（事业单位不适用）</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42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eastAsia" w:ascii="CESI宋体-GB2312" w:hAnsi="CESI宋体-GB2312" w:eastAsia="CESI宋体-GB2312" w:cs="CESI宋体-GB2312"/>
          <w:i w:val="0"/>
          <w:iCs w:val="0"/>
          <w:caps w:val="0"/>
          <w:spacing w:val="0"/>
          <w:kern w:val="0"/>
          <w:sz w:val="28"/>
          <w:szCs w:val="28"/>
          <w:shd w:val="clear" w:fill="FFFFFF"/>
          <w:lang w:val="en-US" w:eastAsia="zh-CN" w:bidi="ar"/>
        </w:rPr>
        <w:t>（5）</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供应商目前未处于行业、国铁集团、中国中车和采购人及实际需求企业投标限制期内；供应商目前未处于国铁集团、中国中车和采购人及实际需求企业“黑名单”内。</w:t>
      </w:r>
    </w:p>
    <w:p>
      <w:pPr>
        <w:pStyle w:val="27"/>
        <w:keepNext w:val="0"/>
        <w:keepLines w:val="0"/>
        <w:pageBreakBefore w:val="0"/>
        <w:shd w:val="clear" w:color="auto" w:fill="FFFFFF"/>
        <w:kinsoku/>
        <w:overflowPunct/>
        <w:autoSpaceDN/>
        <w:bidi w:val="0"/>
        <w:spacing w:line="560" w:lineRule="exact"/>
        <w:ind w:left="0"/>
        <w:textAlignment w:val="auto"/>
        <w:rPr>
          <w:rFonts w:hint="default" w:ascii="宋体" w:hAnsi="宋体" w:eastAsia="宋体" w:cs="宋体"/>
          <w:color w:val="0070C0"/>
          <w:szCs w:val="28"/>
          <w:lang w:val="en-US" w:eastAsia="zh-CN"/>
        </w:rPr>
      </w:pPr>
      <w:r>
        <w:rPr>
          <w:rFonts w:hint="eastAsia" w:ascii="宋体" w:hAnsi="宋体" w:cs="宋体"/>
          <w:szCs w:val="28"/>
          <w:lang w:val="en-US" w:eastAsia="zh-CN"/>
        </w:rPr>
        <w:t>1.5</w:t>
      </w:r>
      <w:r>
        <w:rPr>
          <w:rFonts w:hint="eastAsia" w:ascii="宋体" w:hAnsi="宋体" w:cs="宋体"/>
          <w:szCs w:val="28"/>
        </w:rPr>
        <w:t>人员要求：供应商项目团队成员需具备相关专业资格，应具备类似项目经验。</w:t>
      </w:r>
    </w:p>
    <w:p>
      <w:pPr>
        <w:pStyle w:val="27"/>
        <w:keepNext w:val="0"/>
        <w:keepLines w:val="0"/>
        <w:pageBreakBefore w:val="0"/>
        <w:shd w:val="clear" w:color="auto" w:fill="FFFFFF"/>
        <w:kinsoku/>
        <w:overflowPunct/>
        <w:autoSpaceDN/>
        <w:bidi w:val="0"/>
        <w:spacing w:line="560" w:lineRule="exact"/>
        <w:ind w:left="0"/>
        <w:textAlignment w:val="auto"/>
        <w:rPr>
          <w:rFonts w:hint="eastAsia" w:ascii="宋体" w:hAnsi="宋体" w:cs="宋体"/>
          <w:color w:val="0070C0"/>
          <w:szCs w:val="28"/>
          <w:highlight w:val="red"/>
          <w:lang w:val="en-US" w:eastAsia="zh-CN"/>
        </w:rPr>
      </w:pPr>
      <w:r>
        <w:rPr>
          <w:rFonts w:hint="eastAsia" w:ascii="宋体" w:hAnsi="宋体" w:cs="宋体"/>
          <w:szCs w:val="28"/>
          <w:lang w:val="en-US" w:eastAsia="zh-CN"/>
        </w:rPr>
        <w:t xml:space="preserve">1.6 </w:t>
      </w:r>
      <w:r>
        <w:rPr>
          <w:rFonts w:hint="eastAsia" w:ascii="宋体" w:hAnsi="宋体" w:cs="宋体"/>
          <w:szCs w:val="28"/>
        </w:rPr>
        <w:t>财务要求：供应商财务状况良好（没有处于被接管、冻结、破产状态）。供应商须提供资产负债表、利润表（或损益表）、现金流量表</w:t>
      </w:r>
      <w:r>
        <w:rPr>
          <w:rFonts w:hint="eastAsia" w:ascii="宋体" w:hAnsi="宋体" w:cs="宋体"/>
          <w:szCs w:val="28"/>
          <w:lang w:eastAsia="zh-CN"/>
        </w:rPr>
        <w:t>或</w:t>
      </w:r>
      <w:r>
        <w:rPr>
          <w:rFonts w:hint="eastAsia" w:ascii="宋体" w:hAnsi="宋体" w:cs="宋体"/>
          <w:szCs w:val="28"/>
        </w:rPr>
        <w:t>响应文件开启日期前6个月内供应商基本账户开户银行开具有效的资信证明原件，或该原件的复印件并加盖公章（银行资信证明标注复印无效的，必须提供原件）。</w:t>
      </w:r>
    </w:p>
    <w:p>
      <w:pPr>
        <w:pStyle w:val="27"/>
        <w:keepNext w:val="0"/>
        <w:keepLines w:val="0"/>
        <w:pageBreakBefore w:val="0"/>
        <w:shd w:val="clear" w:color="auto" w:fill="FFFFFF"/>
        <w:kinsoku/>
        <w:overflowPunct/>
        <w:autoSpaceDN/>
        <w:bidi w:val="0"/>
        <w:spacing w:line="560" w:lineRule="exact"/>
        <w:ind w:left="0"/>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2.联合体参加采购活动要求。</w:t>
      </w:r>
    </w:p>
    <w:p>
      <w:pPr>
        <w:pStyle w:val="27"/>
        <w:keepNext w:val="0"/>
        <w:keepLines w:val="0"/>
        <w:pageBreakBefore w:val="0"/>
        <w:shd w:val="clear" w:color="auto" w:fill="FFFFFF"/>
        <w:kinsoku/>
        <w:overflowPunct/>
        <w:autoSpaceDN/>
        <w:bidi w:val="0"/>
        <w:spacing w:line="560" w:lineRule="exact"/>
        <w:ind w:left="0"/>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2.1本项目是否接受联合体单位参加：</w:t>
      </w:r>
      <w:r>
        <w:rPr>
          <w:rFonts w:hint="default" w:ascii="CESI宋体-GB2312" w:hAnsi="CESI宋体-GB2312" w:eastAsia="CESI宋体-GB2312" w:cs="CESI宋体-GB2312"/>
          <w:i w:val="0"/>
          <w:iCs w:val="0"/>
          <w:caps w:val="0"/>
          <w:spacing w:val="0"/>
          <w:kern w:val="0"/>
          <w:sz w:val="28"/>
          <w:szCs w:val="28"/>
          <w:highlight w:val="red"/>
          <w:u w:val="single"/>
          <w:shd w:val="clear" w:fill="FFFFFF"/>
          <w:lang w:val="en-US" w:eastAsia="zh-CN" w:bidi="ar"/>
        </w:rPr>
        <w:t>【</w:t>
      </w:r>
      <w:r>
        <w:rPr>
          <w:rFonts w:hint="default" w:ascii="CESI宋体-GB2312" w:hAnsi="CESI宋体-GB2312" w:eastAsia="CESI宋体-GB2312" w:cs="CESI宋体-GB2312"/>
          <w:b w:val="0"/>
          <w:i w:val="0"/>
          <w:kern w:val="0"/>
          <w:sz w:val="28"/>
          <w:szCs w:val="28"/>
          <w:highlight w:val="red"/>
          <w:u w:val="single"/>
          <w:shd w:val="clear" w:fill="FFFFFF"/>
          <w:lang w:val="en-US" w:eastAsia="zh-CN" w:bidi="ar"/>
        </w:rPr>
        <w:t>否】</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420"/>
        <w:jc w:val="left"/>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spacing w:val="0"/>
          <w:kern w:val="0"/>
          <w:sz w:val="28"/>
          <w:szCs w:val="28"/>
          <w:shd w:val="clear" w:fill="FFFFFF"/>
          <w:lang w:val="en-US" w:eastAsia="zh-CN" w:bidi="ar"/>
        </w:rPr>
        <w:t>2.2接受联合体单位参加的，联合体应满足上述第1条款规定的资格要求，此外联合体各方还应满足下列要求：</w:t>
      </w:r>
      <w:r>
        <w:rPr>
          <w:rFonts w:hint="default" w:ascii="CESI宋体-GB2312" w:hAnsi="CESI宋体-GB2312" w:eastAsia="CESI宋体-GB2312" w:cs="CESI宋体-GB2312"/>
          <w:spacing w:val="0"/>
          <w:kern w:val="0"/>
          <w:sz w:val="28"/>
          <w:szCs w:val="28"/>
          <w:u w:val="single"/>
          <w:shd w:val="clear" w:fill="FFFFFF"/>
          <w:lang w:val="en-US" w:eastAsia="zh-CN" w:bidi="ar"/>
        </w:rPr>
        <w:t xml:space="preserve">  </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default" w:ascii="CESI宋体-GB2312" w:hAnsi="CESI宋体-GB2312" w:eastAsia="CESI宋体-GB2312" w:cs="CESI宋体-GB2312"/>
          <w:b w:val="0"/>
          <w:i w:val="0"/>
          <w:kern w:val="0"/>
          <w:sz w:val="28"/>
          <w:szCs w:val="28"/>
          <w:u w:val="single"/>
          <w:shd w:val="clear" w:fill="FFFFFF"/>
          <w:lang w:val="en-US" w:eastAsia="zh-CN" w:bidi="ar"/>
        </w:rPr>
        <w:t>/】</w:t>
      </w:r>
      <w:r>
        <w:rPr>
          <w:rFonts w:hint="default" w:ascii="CESI宋体-GB2312" w:hAnsi="CESI宋体-GB2312" w:eastAsia="CESI宋体-GB2312" w:cs="CESI宋体-GB2312"/>
          <w:spacing w:val="0"/>
          <w:kern w:val="0"/>
          <w:sz w:val="28"/>
          <w:szCs w:val="28"/>
          <w:u w:val="single"/>
          <w:shd w:val="clear" w:fill="FFFFFF"/>
          <w:lang w:val="en-US" w:eastAsia="zh-CN" w:bidi="ar"/>
        </w:rPr>
        <w:t xml:space="preserve">       </w:t>
      </w:r>
      <w:r>
        <w:rPr>
          <w:rFonts w:hint="default" w:ascii="CESI宋体-GB2312" w:hAnsi="CESI宋体-GB2312" w:eastAsia="CESI宋体-GB2312" w:cs="CESI宋体-GB2312"/>
          <w:spacing w:val="0"/>
          <w:kern w:val="0"/>
          <w:sz w:val="28"/>
          <w:szCs w:val="28"/>
          <w:shd w:val="clear" w:fill="FFFFFF"/>
          <w:lang w:val="en-US" w:eastAsia="zh-CN" w:bidi="ar"/>
        </w:rPr>
        <w:t>。</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420"/>
        <w:jc w:val="left"/>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3.其他要求：</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 xml:space="preserve">   【</w:t>
      </w:r>
      <w:r>
        <w:rPr>
          <w:rFonts w:hint="default" w:ascii="CESI宋体-GB2312" w:hAnsi="CESI宋体-GB2312" w:eastAsia="CESI宋体-GB2312" w:cs="CESI宋体-GB2312"/>
          <w:b w:val="0"/>
          <w:i w:val="0"/>
          <w:kern w:val="0"/>
          <w:sz w:val="28"/>
          <w:szCs w:val="28"/>
          <w:u w:val="single"/>
          <w:shd w:val="clear" w:fill="FFFFFF"/>
          <w:lang w:val="en-US" w:eastAsia="zh-CN" w:bidi="ar"/>
        </w:rPr>
        <w:t>/】</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 xml:space="preserve">    </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方正黑体_GBK" w:hAnsi="方正黑体_GBK" w:eastAsia="方正黑体_GBK" w:cs="方正黑体_GBK"/>
          <w:b w:val="0"/>
          <w:bCs w:val="0"/>
          <w:i w:val="0"/>
          <w:iCs w:val="0"/>
          <w:caps w:val="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四、资格审核要求</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highlight w:val="yellow"/>
          <w:shd w:val="clear" w:fill="FFFFFF"/>
        </w:rPr>
      </w:pPr>
      <w:r>
        <w:rPr>
          <w:rFonts w:hint="default" w:ascii="CESI宋体-GB2312" w:hAnsi="CESI宋体-GB2312" w:eastAsia="CESI宋体-GB2312" w:cs="CESI宋体-GB2312"/>
          <w:i w:val="0"/>
          <w:iCs w:val="0"/>
          <w:caps w:val="0"/>
          <w:spacing w:val="0"/>
          <w:kern w:val="0"/>
          <w:sz w:val="28"/>
          <w:szCs w:val="28"/>
          <w:highlight w:val="yellow"/>
          <w:shd w:val="clear" w:fill="FFFFFF"/>
          <w:lang w:val="en-US" w:eastAsia="zh-CN" w:bidi="ar"/>
        </w:rPr>
        <w:t>本项目采用：</w:t>
      </w:r>
      <w:r>
        <w:rPr>
          <w:rFonts w:hint="default" w:ascii="CESI宋体-GB2312" w:hAnsi="CESI宋体-GB2312" w:eastAsia="CESI宋体-GB2312" w:cs="CESI宋体-GB2312"/>
          <w:i w:val="0"/>
          <w:iCs w:val="0"/>
          <w:caps w:val="0"/>
          <w:spacing w:val="0"/>
          <w:kern w:val="0"/>
          <w:sz w:val="28"/>
          <w:szCs w:val="28"/>
          <w:highlight w:val="yellow"/>
          <w:u w:val="single"/>
          <w:shd w:val="clear" w:fill="FFFFFF"/>
          <w:lang w:val="en-US" w:eastAsia="zh-CN" w:bidi="ar"/>
        </w:rPr>
        <w:t>【本项目采用资格后审方式】</w:t>
      </w:r>
      <w:r>
        <w:rPr>
          <w:rFonts w:hint="default" w:ascii="CESI宋体-GB2312" w:hAnsi="CESI宋体-GB2312" w:eastAsia="CESI宋体-GB2312" w:cs="CESI宋体-GB2312"/>
          <w:i w:val="0"/>
          <w:iCs w:val="0"/>
          <w:caps w:val="0"/>
          <w:spacing w:val="0"/>
          <w:kern w:val="0"/>
          <w:sz w:val="28"/>
          <w:szCs w:val="28"/>
          <w:highlight w:val="yellow"/>
          <w:shd w:val="clear" w:fill="FFFFFF"/>
          <w:lang w:val="en-US" w:eastAsia="zh-CN" w:bidi="ar"/>
        </w:rPr>
        <w:t>。</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方正黑体_GBK" w:hAnsi="方正黑体_GBK" w:eastAsia="方正黑体_GBK" w:cs="方正黑体_GBK"/>
          <w:b w:val="0"/>
          <w:bCs w:val="0"/>
          <w:i w:val="0"/>
          <w:iCs w:val="0"/>
          <w:caps w:val="0"/>
          <w:color w:val="FF000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五、</w:t>
      </w:r>
      <w:r>
        <w:rPr>
          <w:rFonts w:hint="eastAsia" w:ascii="方正黑体_GBK" w:hAnsi="方正黑体_GBK" w:eastAsia="方正黑体_GBK" w:cs="方正黑体_GBK"/>
          <w:b w:val="0"/>
          <w:bCs w:val="0"/>
          <w:i w:val="0"/>
          <w:iCs w:val="0"/>
          <w:caps w:val="0"/>
          <w:color w:val="FF0000"/>
          <w:spacing w:val="0"/>
          <w:kern w:val="0"/>
          <w:sz w:val="28"/>
          <w:szCs w:val="28"/>
          <w:shd w:val="clear" w:fill="FFFFFF"/>
          <w:lang w:val="en-US" w:eastAsia="zh-CN" w:bidi="ar"/>
        </w:rPr>
        <w:t>响应报名和采购文件的获取</w:t>
      </w:r>
    </w:p>
    <w:p>
      <w:pPr>
        <w:keepNext w:val="0"/>
        <w:keepLines w:val="0"/>
        <w:pageBreakBefore w:val="0"/>
        <w:widowControl/>
        <w:suppressLineNumbers w:val="0"/>
        <w:kinsoku/>
        <w:overflowPunct/>
        <w:autoSpaceDE w:val="0"/>
        <w:autoSpaceDN/>
        <w:bidi w:val="0"/>
        <w:adjustRightInd w:val="0"/>
        <w:snapToGrid w:val="0"/>
        <w:spacing w:before="0" w:beforeAutospacing="0" w:after="0" w:afterAutospacing="0" w:line="560" w:lineRule="exact"/>
        <w:ind w:left="0" w:right="0" w:firstLine="616" w:firstLineChars="200"/>
        <w:jc w:val="left"/>
        <w:textAlignment w:val="auto"/>
        <w:rPr>
          <w:rFonts w:hint="default" w:ascii="CESI宋体-GB2312" w:hAnsi="CESI宋体-GB2312" w:eastAsia="CESI宋体-GB2312" w:cs="CESI宋体-GB2312"/>
          <w:kern w:val="2"/>
          <w:sz w:val="28"/>
          <w:szCs w:val="28"/>
        </w:rPr>
      </w:pPr>
      <w:r>
        <w:rPr>
          <w:rFonts w:hint="default" w:ascii="CESI宋体-GB2312" w:hAnsi="CESI宋体-GB2312" w:eastAsia="CESI宋体-GB2312" w:cs="CESI宋体-GB2312"/>
          <w:i w:val="0"/>
          <w:iCs w:val="0"/>
          <w:caps w:val="0"/>
          <w:spacing w:val="14"/>
          <w:kern w:val="2"/>
          <w:sz w:val="28"/>
          <w:szCs w:val="28"/>
          <w:shd w:val="clear" w:fill="FFFFFF"/>
          <w:lang w:val="en-US" w:eastAsia="zh-CN" w:bidi="ar"/>
        </w:rPr>
        <w:t>1.凡有意向参加本项目采购活动的，</w:t>
      </w:r>
      <w:r>
        <w:rPr>
          <w:rFonts w:hint="default" w:ascii="CESI宋体-GB2312" w:hAnsi="CESI宋体-GB2312" w:eastAsia="CESI宋体-GB2312" w:cs="CESI宋体-GB2312"/>
          <w:i w:val="0"/>
          <w:iCs w:val="0"/>
          <w:caps w:val="0"/>
          <w:color w:val="FF0000"/>
          <w:spacing w:val="14"/>
          <w:kern w:val="2"/>
          <w:sz w:val="28"/>
          <w:szCs w:val="28"/>
          <w:highlight w:val="yellow"/>
          <w:u w:val="none"/>
          <w:shd w:val="clear" w:fill="FFFFFF"/>
          <w:lang w:val="en-US" w:eastAsia="zh-CN" w:bidi="ar"/>
        </w:rPr>
        <w:t>于</w:t>
      </w:r>
      <w:r>
        <w:rPr>
          <w:rFonts w:hint="default" w:ascii="CESI宋体-GB2312" w:hAnsi="CESI宋体-GB2312" w:eastAsia="CESI宋体-GB2312" w:cs="CESI宋体-GB2312"/>
          <w:b w:val="0"/>
          <w:i w:val="0"/>
          <w:color w:val="FF0000"/>
          <w:kern w:val="2"/>
          <w:sz w:val="28"/>
          <w:szCs w:val="28"/>
          <w:highlight w:val="cyan"/>
          <w:u w:val="none"/>
          <w:lang w:val="en-US" w:eastAsia="zh-CN" w:bidi="ar"/>
        </w:rPr>
        <w:t>202</w:t>
      </w:r>
      <w:r>
        <w:rPr>
          <w:rFonts w:hint="eastAsia" w:ascii="CESI宋体-GB2312" w:hAnsi="CESI宋体-GB2312" w:eastAsia="CESI宋体-GB2312" w:cs="CESI宋体-GB2312"/>
          <w:b w:val="0"/>
          <w:i w:val="0"/>
          <w:color w:val="FF0000"/>
          <w:kern w:val="2"/>
          <w:sz w:val="28"/>
          <w:szCs w:val="28"/>
          <w:highlight w:val="cyan"/>
          <w:u w:val="none"/>
          <w:lang w:val="en-US" w:eastAsia="zh-CN" w:bidi="ar"/>
        </w:rPr>
        <w:t>6</w:t>
      </w:r>
      <w:r>
        <w:rPr>
          <w:rFonts w:hint="default" w:ascii="CESI宋体-GB2312" w:hAnsi="CESI宋体-GB2312" w:eastAsia="CESI宋体-GB2312" w:cs="CESI宋体-GB2312"/>
          <w:b w:val="0"/>
          <w:i w:val="0"/>
          <w:color w:val="FF0000"/>
          <w:kern w:val="2"/>
          <w:sz w:val="28"/>
          <w:szCs w:val="28"/>
          <w:highlight w:val="cyan"/>
          <w:u w:val="none"/>
          <w:lang w:val="en-US" w:eastAsia="zh-CN" w:bidi="ar"/>
        </w:rPr>
        <w:t>-</w:t>
      </w:r>
      <w:r>
        <w:rPr>
          <w:rFonts w:hint="eastAsia" w:ascii="CESI宋体-GB2312" w:hAnsi="CESI宋体-GB2312" w:eastAsia="CESI宋体-GB2312" w:cs="CESI宋体-GB2312"/>
          <w:b w:val="0"/>
          <w:i w:val="0"/>
          <w:color w:val="FF0000"/>
          <w:kern w:val="2"/>
          <w:sz w:val="28"/>
          <w:szCs w:val="28"/>
          <w:highlight w:val="cyan"/>
          <w:u w:val="none"/>
          <w:lang w:val="en-US" w:eastAsia="zh-CN" w:bidi="ar"/>
        </w:rPr>
        <w:t>01-02</w:t>
      </w:r>
      <w:r>
        <w:rPr>
          <w:rFonts w:hint="default" w:ascii="CESI宋体-GB2312" w:hAnsi="CESI宋体-GB2312" w:eastAsia="CESI宋体-GB2312" w:cs="CESI宋体-GB2312"/>
          <w:b w:val="0"/>
          <w:i w:val="0"/>
          <w:color w:val="FF0000"/>
          <w:kern w:val="2"/>
          <w:sz w:val="28"/>
          <w:szCs w:val="28"/>
          <w:highlight w:val="cyan"/>
          <w:u w:val="none"/>
          <w:lang w:val="en-US" w:eastAsia="zh-CN" w:bidi="ar"/>
        </w:rPr>
        <w:t xml:space="preserve"> 0</w:t>
      </w:r>
      <w:r>
        <w:rPr>
          <w:rFonts w:hint="eastAsia" w:ascii="CESI宋体-GB2312" w:hAnsi="CESI宋体-GB2312" w:eastAsia="CESI宋体-GB2312" w:cs="CESI宋体-GB2312"/>
          <w:b w:val="0"/>
          <w:i w:val="0"/>
          <w:color w:val="FF0000"/>
          <w:kern w:val="2"/>
          <w:sz w:val="28"/>
          <w:szCs w:val="28"/>
          <w:highlight w:val="cyan"/>
          <w:u w:val="none"/>
          <w:lang w:val="en-US" w:eastAsia="zh-CN" w:bidi="ar"/>
        </w:rPr>
        <w:t>9</w:t>
      </w:r>
      <w:r>
        <w:rPr>
          <w:rFonts w:hint="default" w:ascii="CESI宋体-GB2312" w:hAnsi="CESI宋体-GB2312" w:eastAsia="CESI宋体-GB2312" w:cs="CESI宋体-GB2312"/>
          <w:b w:val="0"/>
          <w:i w:val="0"/>
          <w:color w:val="FF0000"/>
          <w:kern w:val="2"/>
          <w:sz w:val="28"/>
          <w:szCs w:val="28"/>
          <w:highlight w:val="cyan"/>
          <w:u w:val="none"/>
          <w:lang w:val="en-US" w:eastAsia="zh-CN" w:bidi="ar"/>
        </w:rPr>
        <w:t>:00至</w:t>
      </w:r>
      <w:r>
        <w:rPr>
          <w:rFonts w:hint="default" w:ascii="CESI宋体-GB2312" w:hAnsi="CESI宋体-GB2312" w:eastAsia="CESI宋体-GB2312" w:cs="CESI宋体-GB2312"/>
          <w:i w:val="0"/>
          <w:iCs w:val="0"/>
          <w:caps w:val="0"/>
          <w:color w:val="FF0000"/>
          <w:spacing w:val="14"/>
          <w:kern w:val="2"/>
          <w:sz w:val="28"/>
          <w:szCs w:val="28"/>
          <w:highlight w:val="cyan"/>
          <w:u w:val="none"/>
          <w:shd w:val="clear" w:fill="FFFFFF"/>
          <w:lang w:val="en-US" w:eastAsia="zh-CN" w:bidi="ar"/>
        </w:rPr>
        <w:t>202</w:t>
      </w:r>
      <w:r>
        <w:rPr>
          <w:rFonts w:hint="eastAsia" w:ascii="CESI宋体-GB2312" w:hAnsi="CESI宋体-GB2312" w:eastAsia="CESI宋体-GB2312" w:cs="CESI宋体-GB2312"/>
          <w:i w:val="0"/>
          <w:iCs w:val="0"/>
          <w:caps w:val="0"/>
          <w:color w:val="FF0000"/>
          <w:spacing w:val="14"/>
          <w:kern w:val="2"/>
          <w:sz w:val="28"/>
          <w:szCs w:val="28"/>
          <w:highlight w:val="cyan"/>
          <w:u w:val="none"/>
          <w:shd w:val="clear" w:fill="FFFFFF"/>
          <w:lang w:val="en-US" w:eastAsia="zh-CN" w:bidi="ar"/>
        </w:rPr>
        <w:t>6</w:t>
      </w:r>
      <w:r>
        <w:rPr>
          <w:rFonts w:hint="default" w:ascii="CESI宋体-GB2312" w:hAnsi="CESI宋体-GB2312" w:eastAsia="CESI宋体-GB2312" w:cs="CESI宋体-GB2312"/>
          <w:i w:val="0"/>
          <w:iCs w:val="0"/>
          <w:caps w:val="0"/>
          <w:color w:val="FF0000"/>
          <w:spacing w:val="14"/>
          <w:kern w:val="2"/>
          <w:sz w:val="28"/>
          <w:szCs w:val="28"/>
          <w:highlight w:val="cyan"/>
          <w:u w:val="none"/>
          <w:shd w:val="clear" w:fill="FFFFFF"/>
          <w:lang w:val="en-US" w:eastAsia="zh-CN" w:bidi="ar"/>
        </w:rPr>
        <w:t>-</w:t>
      </w:r>
      <w:r>
        <w:rPr>
          <w:rFonts w:hint="eastAsia" w:ascii="CESI宋体-GB2312" w:hAnsi="CESI宋体-GB2312" w:eastAsia="CESI宋体-GB2312" w:cs="CESI宋体-GB2312"/>
          <w:i w:val="0"/>
          <w:iCs w:val="0"/>
          <w:caps w:val="0"/>
          <w:color w:val="FF0000"/>
          <w:spacing w:val="14"/>
          <w:kern w:val="2"/>
          <w:sz w:val="28"/>
          <w:szCs w:val="28"/>
          <w:highlight w:val="cyan"/>
          <w:u w:val="none"/>
          <w:shd w:val="clear" w:fill="FFFFFF"/>
          <w:lang w:val="en-US" w:eastAsia="zh-CN" w:bidi="ar"/>
        </w:rPr>
        <w:t>01-13  08:00</w:t>
      </w:r>
      <w:r>
        <w:rPr>
          <w:rFonts w:hint="default" w:ascii="CESI宋体-GB2312" w:hAnsi="CESI宋体-GB2312" w:eastAsia="CESI宋体-GB2312" w:cs="CESI宋体-GB2312"/>
          <w:i w:val="0"/>
          <w:iCs w:val="0"/>
          <w:caps w:val="0"/>
          <w:color w:val="FF0000"/>
          <w:spacing w:val="14"/>
          <w:kern w:val="2"/>
          <w:sz w:val="28"/>
          <w:szCs w:val="28"/>
          <w:highlight w:val="yellow"/>
          <w:u w:val="none"/>
          <w:shd w:val="clear" w:fill="FFFFFF"/>
          <w:lang w:val="en-US" w:eastAsia="zh-CN" w:bidi="ar"/>
        </w:rPr>
        <w:t>，</w:t>
      </w:r>
      <w:r>
        <w:rPr>
          <w:rFonts w:hint="default" w:ascii="CESI宋体-GB2312" w:hAnsi="CESI宋体-GB2312" w:eastAsia="CESI宋体-GB2312" w:cs="CESI宋体-GB2312"/>
          <w:i w:val="0"/>
          <w:iCs w:val="0"/>
          <w:caps w:val="0"/>
          <w:spacing w:val="14"/>
          <w:kern w:val="2"/>
          <w:sz w:val="28"/>
          <w:szCs w:val="28"/>
          <w:shd w:val="clear" w:fill="FFFFFF"/>
          <w:lang w:val="en-US" w:eastAsia="zh-CN" w:bidi="ar"/>
        </w:rPr>
        <w:t>登录</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中车购2.0平台</w:t>
      </w:r>
      <w:r>
        <w:rPr>
          <w:rFonts w:hint="default" w:ascii="CESI宋体-GB2312" w:hAnsi="CESI宋体-GB2312" w:eastAsia="CESI宋体-GB2312" w:cs="CESI宋体-GB2312"/>
          <w:i w:val="0"/>
          <w:iCs w:val="0"/>
          <w:caps w:val="0"/>
          <w:spacing w:val="14"/>
          <w:kern w:val="2"/>
          <w:sz w:val="28"/>
          <w:szCs w:val="28"/>
          <w:shd w:val="clear" w:fill="FFFFFF"/>
          <w:lang w:val="en-US" w:eastAsia="zh-CN" w:bidi="ar"/>
        </w:rPr>
        <w:t>：</w:t>
      </w:r>
      <w:r>
        <w:rPr>
          <w:rFonts w:hint="default" w:ascii="CESI宋体-GB2312" w:hAnsi="CESI宋体-GB2312" w:eastAsia="CESI宋体-GB2312" w:cs="CESI宋体-GB2312"/>
          <w:spacing w:val="14"/>
          <w:kern w:val="2"/>
          <w:sz w:val="28"/>
          <w:szCs w:val="28"/>
          <w:shd w:val="clear" w:fill="FFFFFF"/>
          <w:lang w:val="en-US" w:eastAsia="zh-CN" w:bidi="ar"/>
        </w:rPr>
        <w:t>https://www.crrcgo.cc</w:t>
      </w:r>
      <w:r>
        <w:rPr>
          <w:rFonts w:hint="default" w:ascii="CESI宋体-GB2312" w:hAnsi="CESI宋体-GB2312" w:eastAsia="CESI宋体-GB2312" w:cs="CESI宋体-GB2312"/>
          <w:i w:val="0"/>
          <w:iCs w:val="0"/>
          <w:caps w:val="0"/>
          <w:spacing w:val="14"/>
          <w:kern w:val="2"/>
          <w:sz w:val="28"/>
          <w:szCs w:val="28"/>
          <w:shd w:val="clear" w:fill="FFFFFF"/>
          <w:lang w:val="en-US" w:eastAsia="zh-CN" w:bidi="ar"/>
        </w:rPr>
        <w:t>下载采购文件</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，点击“我要报名”，填写相关信息，点击“我要响应”完成报名操作。未在报名截止时间前完成报名者，将无法参与本项目。</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616"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14"/>
          <w:kern w:val="0"/>
          <w:sz w:val="28"/>
          <w:szCs w:val="28"/>
          <w:shd w:val="clear" w:fill="FFFFFF"/>
          <w:lang w:val="en-US" w:eastAsia="zh-CN" w:bidi="ar"/>
        </w:rPr>
        <w:t>2.下载采购文件。</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登录“中车购2.0平台”，点击“电子采购”，进入“我的项目”页面，点击“采购文件下载”下载采购文件及其附件。</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firstLine="560" w:firstLineChars="200"/>
        <w:textAlignment w:val="auto"/>
        <w:rPr>
          <w:rFonts w:hint="eastAsia" w:ascii="宋体" w:hAnsi="宋体" w:eastAsia="宋体" w:cs="宋体"/>
          <w:color w:val="FF0000"/>
          <w:kern w:val="2"/>
          <w:sz w:val="28"/>
          <w:szCs w:val="28"/>
          <w:highlight w:val="none"/>
          <w:lang w:val="en-US" w:eastAsia="zh-CN" w:bidi="ar-SA"/>
        </w:rPr>
      </w:pPr>
      <w:r>
        <w:rPr>
          <w:rFonts w:hint="eastAsia" w:ascii="宋体" w:hAnsi="宋体" w:cs="宋体"/>
          <w:color w:val="auto"/>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bidi="ar-SA"/>
        </w:rPr>
        <w:t>.本项目供应商的响应</w:t>
      </w:r>
      <w:r>
        <w:rPr>
          <w:rFonts w:hint="eastAsia" w:ascii="宋体" w:hAnsi="宋体" w:cs="宋体"/>
          <w:color w:val="auto"/>
          <w:kern w:val="2"/>
          <w:sz w:val="28"/>
          <w:szCs w:val="28"/>
          <w:highlight w:val="none"/>
          <w:lang w:val="en-US" w:eastAsia="zh-CN" w:bidi="ar-SA"/>
        </w:rPr>
        <w:t>投标</w:t>
      </w:r>
      <w:r>
        <w:rPr>
          <w:rFonts w:hint="eastAsia" w:ascii="宋体" w:hAnsi="宋体" w:eastAsia="宋体" w:cs="宋体"/>
          <w:color w:val="auto"/>
          <w:kern w:val="2"/>
          <w:sz w:val="28"/>
          <w:szCs w:val="28"/>
          <w:highlight w:val="none"/>
          <w:lang w:val="en-US" w:eastAsia="zh-CN" w:bidi="ar-SA"/>
        </w:rPr>
        <w:t>文件应将需要盖章和签字的证件打印并加盖公章和手写签字后进行扫描上传，</w:t>
      </w:r>
      <w:r>
        <w:rPr>
          <w:rFonts w:hint="eastAsia" w:ascii="宋体" w:hAnsi="宋体" w:eastAsia="宋体" w:cs="宋体"/>
          <w:color w:val="FF0000"/>
          <w:kern w:val="2"/>
          <w:sz w:val="28"/>
          <w:szCs w:val="28"/>
          <w:highlight w:val="none"/>
          <w:lang w:val="en-US" w:eastAsia="zh-CN" w:bidi="ar-SA"/>
        </w:rPr>
        <w:t>禁止将公章或签名采取抠图、电子图形、拼接图形等方式合成电子文档。</w:t>
      </w:r>
    </w:p>
    <w:p>
      <w:pPr>
        <w:keepNext w:val="0"/>
        <w:keepLines w:val="0"/>
        <w:pageBreakBefore w:val="0"/>
        <w:widowControl w:val="0"/>
        <w:kinsoku/>
        <w:wordWrap w:val="0"/>
        <w:overflowPunct/>
        <w:topLinePunct/>
        <w:autoSpaceDE/>
        <w:autoSpaceDN/>
        <w:bidi w:val="0"/>
        <w:adjustRightInd/>
        <w:snapToGrid/>
        <w:spacing w:beforeAutospacing="0" w:afterAutospacing="0" w:line="560" w:lineRule="exact"/>
        <w:ind w:left="0" w:leftChars="0" w:right="0" w:rightChars="0" w:firstLine="560" w:firstLineChars="200"/>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eastAsia" w:ascii="宋体" w:hAnsi="宋体" w:cs="宋体"/>
          <w:color w:val="auto"/>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bidi="ar-SA"/>
        </w:rPr>
        <w:t>.报名结束时，报名审查合格的供应商少于</w:t>
      </w:r>
      <w:r>
        <w:rPr>
          <w:rFonts w:hint="eastAsia" w:ascii="宋体" w:hAnsi="宋体" w:cs="宋体"/>
          <w:color w:val="auto"/>
          <w:kern w:val="2"/>
          <w:sz w:val="28"/>
          <w:szCs w:val="28"/>
          <w:highlight w:val="yellow"/>
          <w:lang w:val="en-US" w:eastAsia="zh-CN" w:bidi="ar-SA"/>
        </w:rPr>
        <w:t>2</w:t>
      </w:r>
      <w:r>
        <w:rPr>
          <w:rFonts w:hint="eastAsia" w:ascii="宋体" w:hAnsi="宋体" w:eastAsia="宋体" w:cs="宋体"/>
          <w:color w:val="auto"/>
          <w:kern w:val="2"/>
          <w:sz w:val="28"/>
          <w:szCs w:val="28"/>
          <w:highlight w:val="none"/>
          <w:lang w:val="en-US" w:eastAsia="zh-CN" w:bidi="ar-SA"/>
        </w:rPr>
        <w:t>个的标包，采购人有权终止本标包采购</w:t>
      </w:r>
      <w:r>
        <w:rPr>
          <w:rFonts w:hint="eastAsia" w:ascii="宋体" w:hAnsi="宋体" w:cs="宋体"/>
          <w:color w:val="auto"/>
          <w:kern w:val="2"/>
          <w:sz w:val="28"/>
          <w:szCs w:val="28"/>
          <w:highlight w:val="none"/>
          <w:lang w:val="en-US" w:eastAsia="zh-CN" w:bidi="ar-SA"/>
        </w:rPr>
        <w:t>或转变采购方式</w:t>
      </w:r>
      <w:r>
        <w:rPr>
          <w:rFonts w:hint="eastAsia" w:ascii="宋体" w:hAnsi="宋体" w:eastAsia="宋体" w:cs="宋体"/>
          <w:color w:val="auto"/>
          <w:kern w:val="2"/>
          <w:sz w:val="28"/>
          <w:szCs w:val="28"/>
          <w:highlight w:val="none"/>
          <w:lang w:val="en-US" w:eastAsia="zh-CN" w:bidi="ar-SA"/>
        </w:rPr>
        <w:t>。</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u w:val="single"/>
          <w:shd w:val="clear" w:fill="FFFFFF"/>
          <w:lang w:val="en-US"/>
        </w:rPr>
      </w:pPr>
      <w:r>
        <w:rPr>
          <w:rFonts w:hint="eastAsia" w:ascii="CESI宋体-GB2312" w:hAnsi="CESI宋体-GB2312" w:eastAsia="CESI宋体-GB2312" w:cs="CESI宋体-GB2312"/>
          <w:i w:val="0"/>
          <w:iCs w:val="0"/>
          <w:caps w:val="0"/>
          <w:spacing w:val="0"/>
          <w:kern w:val="0"/>
          <w:sz w:val="28"/>
          <w:szCs w:val="28"/>
          <w:shd w:val="clear" w:fill="FFFFFF"/>
          <w:lang w:val="en-US" w:eastAsia="zh-CN" w:bidi="ar"/>
        </w:rPr>
        <w:t>5</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.采购文件是否免费。</w:t>
      </w:r>
      <w:r>
        <w:rPr>
          <w:rFonts w:hint="eastAsia" w:ascii="CESI宋体-GB2312" w:hAnsi="CESI宋体-GB2312" w:eastAsia="CESI宋体-GB2312" w:cs="CESI宋体-GB2312"/>
          <w:i w:val="0"/>
          <w:iCs w:val="0"/>
          <w:caps w:val="0"/>
          <w:color w:val="0000FF"/>
          <w:spacing w:val="0"/>
          <w:kern w:val="0"/>
          <w:sz w:val="28"/>
          <w:szCs w:val="28"/>
          <w:u w:val="single"/>
          <w:shd w:val="clear" w:fill="FFFFFF"/>
          <w:lang w:val="en-US" w:eastAsia="zh-CN" w:bidi="ar"/>
        </w:rPr>
        <w:t>否</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eastAsia" w:ascii="CESI宋体-GB2312" w:hAnsi="CESI宋体-GB2312" w:eastAsia="CESI宋体-GB2312" w:cs="CESI宋体-GB2312"/>
          <w:i w:val="0"/>
          <w:iCs w:val="0"/>
          <w:caps w:val="0"/>
          <w:spacing w:val="0"/>
          <w:kern w:val="0"/>
          <w:sz w:val="28"/>
          <w:szCs w:val="28"/>
          <w:shd w:val="clear" w:fill="FFFFFF"/>
          <w:lang w:val="en-US" w:eastAsia="zh-CN" w:bidi="ar"/>
        </w:rPr>
        <w:t>6</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 xml:space="preserve">.供应商如无“中车购2.0平台”登录账号，请按照以下流程进行操作：     </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rightChars="0" w:firstLine="560"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（1）登录网址：https://www.crrcgo.cc，点击“注册”，根据系统提示完成注册。（2）新用户注册可参照首页下方“帮助中心”—“注册指引”—“账号注册指南”进行注册，也可咨询客户服务电话：400-099-6220。</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CESI宋体-GB2312" w:hAnsi="CESI宋体-GB2312" w:eastAsia="CESI宋体-GB2312" w:cs="CESI宋体-GB2312"/>
          <w:i w:val="0"/>
          <w:iCs w:val="0"/>
          <w:caps w:val="0"/>
          <w:spacing w:val="0"/>
          <w:kern w:val="0"/>
          <w:sz w:val="28"/>
          <w:szCs w:val="28"/>
          <w:shd w:val="clear" w:fill="FFFFFF"/>
          <w:lang w:val="en-US" w:eastAsia="zh-CN" w:bidi="ar"/>
        </w:rPr>
      </w:pPr>
      <w:r>
        <w:rPr>
          <w:rFonts w:hint="eastAsia" w:ascii="CESI宋体-GB2312" w:hAnsi="CESI宋体-GB2312" w:eastAsia="CESI宋体-GB2312" w:cs="CESI宋体-GB2312"/>
          <w:i w:val="0"/>
          <w:iCs w:val="0"/>
          <w:caps w:val="0"/>
          <w:spacing w:val="0"/>
          <w:kern w:val="0"/>
          <w:sz w:val="28"/>
          <w:szCs w:val="28"/>
          <w:shd w:val="clear" w:fill="FFFFFF"/>
          <w:lang w:val="en-US" w:eastAsia="zh-CN" w:bidi="ar"/>
        </w:rPr>
        <w:t>7.凡符合公告资格条件、有意参加本项目的供应商，请在报名前联系</w:t>
      </w:r>
      <w:r>
        <w:rPr>
          <w:rFonts w:hint="eastAsia" w:ascii="CESI宋体-GB2312" w:hAnsi="CESI宋体-GB2312" w:eastAsia="CESI宋体-GB2312" w:cs="CESI宋体-GB2312"/>
          <w:i w:val="0"/>
          <w:iCs w:val="0"/>
          <w:caps w:val="0"/>
          <w:spacing w:val="0"/>
          <w:kern w:val="0"/>
          <w:sz w:val="28"/>
          <w:szCs w:val="28"/>
          <w:highlight w:val="yellow"/>
          <w:shd w:val="clear" w:fill="FFFFFF"/>
          <w:lang w:val="en-US" w:eastAsia="zh-CN" w:bidi="ar"/>
        </w:rPr>
        <w:t>石家庄国祥技术中心</w:t>
      </w:r>
      <w:r>
        <w:rPr>
          <w:rFonts w:hint="eastAsia" w:ascii="CESI宋体-GB2312" w:hAnsi="CESI宋体-GB2312" w:eastAsia="CESI宋体-GB2312" w:cs="CESI宋体-GB2312"/>
          <w:i w:val="0"/>
          <w:iCs w:val="0"/>
          <w:caps w:val="0"/>
          <w:spacing w:val="0"/>
          <w:kern w:val="0"/>
          <w:sz w:val="28"/>
          <w:szCs w:val="28"/>
          <w:shd w:val="clear" w:fill="FFFFFF"/>
          <w:lang w:val="en-US" w:eastAsia="zh-CN" w:bidi="ar"/>
        </w:rPr>
        <w:t>沟通技术细节，联系中车石家庄采购人员沟通报名事宜，</w:t>
      </w:r>
      <w:r>
        <w:rPr>
          <w:rFonts w:hint="eastAsia" w:ascii="CESI宋体-GB2312" w:hAnsi="CESI宋体-GB2312" w:eastAsia="CESI宋体-GB2312" w:cs="CESI宋体-GB2312"/>
          <w:i w:val="0"/>
          <w:iCs w:val="0"/>
          <w:caps w:val="0"/>
          <w:spacing w:val="0"/>
          <w:kern w:val="0"/>
          <w:sz w:val="28"/>
          <w:szCs w:val="28"/>
          <w:highlight w:val="yellow"/>
          <w:shd w:val="clear" w:fill="FFFFFF"/>
          <w:lang w:val="en-US" w:eastAsia="zh-CN" w:bidi="ar"/>
        </w:rPr>
        <w:t>联系电话：</w:t>
      </w:r>
      <w:r>
        <w:rPr>
          <w:rFonts w:hint="eastAsia" w:ascii="CESI宋体-GB2312" w:hAnsi="CESI宋体-GB2312" w:eastAsia="CESI宋体-GB2312" w:cs="CESI宋体-GB2312"/>
          <w:i w:val="0"/>
          <w:iCs w:val="0"/>
          <w:caps w:val="0"/>
          <w:spacing w:val="0"/>
          <w:kern w:val="0"/>
          <w:sz w:val="28"/>
          <w:szCs w:val="28"/>
          <w:highlight w:val="cyan"/>
          <w:shd w:val="clear" w:fill="FFFFFF"/>
          <w:lang w:val="en-US" w:eastAsia="zh-CN" w:bidi="ar"/>
        </w:rPr>
        <w:t>郝腾飞137-8517-3590（技术人员）/郝志远0311-87637863（采购）</w:t>
      </w:r>
      <w:r>
        <w:rPr>
          <w:rFonts w:hint="eastAsia" w:ascii="CESI宋体-GB2312" w:hAnsi="CESI宋体-GB2312" w:eastAsia="CESI宋体-GB2312" w:cs="CESI宋体-GB2312"/>
          <w:i w:val="0"/>
          <w:iCs w:val="0"/>
          <w:caps w:val="0"/>
          <w:spacing w:val="0"/>
          <w:kern w:val="0"/>
          <w:sz w:val="28"/>
          <w:szCs w:val="28"/>
          <w:shd w:val="clear" w:fill="FFFFFF"/>
          <w:lang w:val="en-US" w:eastAsia="zh-CN" w:bidi="ar"/>
        </w:rPr>
        <w:t>。</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方正黑体_GBK" w:hAnsi="方正黑体_GBK" w:eastAsia="方正黑体_GBK" w:cs="方正黑体_GBK"/>
          <w:b w:val="0"/>
          <w:bCs w:val="0"/>
          <w:i w:val="0"/>
          <w:iCs w:val="0"/>
          <w:caps w:val="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六、采购响应文件的递交</w:t>
      </w:r>
    </w:p>
    <w:p>
      <w:pPr>
        <w:keepNext w:val="0"/>
        <w:keepLines w:val="0"/>
        <w:pageBreakBefore w:val="0"/>
        <w:widowControl w:val="0"/>
        <w:kinsoku/>
        <w:wordWrap/>
        <w:overflowPunct/>
        <w:topLinePunct w:val="0"/>
        <w:autoSpaceDN/>
        <w:bidi w:val="0"/>
        <w:snapToGrid/>
        <w:spacing w:beforeAutospacing="0" w:afterAutospacing="0" w:line="560" w:lineRule="exact"/>
        <w:ind w:left="0" w:leftChars="0" w:right="0" w:rightChars="0" w:firstLine="560" w:firstLineChars="200"/>
        <w:textAlignment w:val="auto"/>
        <w:rPr>
          <w:rFonts w:hint="default" w:ascii="CESI宋体-GB2312" w:hAnsi="CESI宋体-GB2312" w:eastAsia="CESI宋体-GB2312" w:cs="CESI宋体-GB2312"/>
          <w:color w:val="FF0000"/>
          <w:kern w:val="0"/>
          <w:sz w:val="28"/>
          <w:szCs w:val="28"/>
          <w:highlight w:val="cyan"/>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1.</w:t>
      </w:r>
      <w:r>
        <w:rPr>
          <w:rFonts w:hint="default" w:ascii="CESI宋体-GB2312" w:hAnsi="CESI宋体-GB2312" w:eastAsia="CESI宋体-GB2312" w:cs="CESI宋体-GB2312"/>
          <w:kern w:val="0"/>
          <w:sz w:val="28"/>
          <w:szCs w:val="28"/>
          <w:shd w:val="clear" w:fill="FFFFFF"/>
          <w:lang w:val="en-US" w:eastAsia="zh-CN" w:bidi="ar"/>
        </w:rPr>
        <w:t>采购响应文件的递交截止时间为</w:t>
      </w:r>
      <w:r>
        <w:rPr>
          <w:rFonts w:hint="default" w:ascii="CESI宋体-GB2312" w:hAnsi="CESI宋体-GB2312" w:eastAsia="CESI宋体-GB2312" w:cs="CESI宋体-GB2312"/>
          <w:i w:val="0"/>
          <w:iCs w:val="0"/>
          <w:caps w:val="0"/>
          <w:color w:val="FF0000"/>
          <w:spacing w:val="0"/>
          <w:kern w:val="0"/>
          <w:sz w:val="28"/>
          <w:szCs w:val="28"/>
          <w:highlight w:val="yellow"/>
          <w:u w:val="single"/>
          <w:shd w:val="clear" w:fill="FFFFFF"/>
          <w:lang w:val="en-US" w:eastAsia="zh-CN" w:bidi="ar"/>
        </w:rPr>
        <w:t>【</w:t>
      </w:r>
      <w:r>
        <w:rPr>
          <w:rFonts w:hint="default" w:ascii="CESI宋体-GB2312" w:hAnsi="CESI宋体-GB2312" w:eastAsia="CESI宋体-GB2312" w:cs="CESI宋体-GB2312"/>
          <w:b w:val="0"/>
          <w:i w:val="0"/>
          <w:color w:val="FF0000"/>
          <w:kern w:val="0"/>
          <w:sz w:val="28"/>
          <w:szCs w:val="28"/>
          <w:highlight w:val="cyan"/>
          <w:u w:val="single"/>
          <w:shd w:val="clear" w:fill="FFFFFF"/>
          <w:lang w:val="en-US" w:eastAsia="zh-CN" w:bidi="ar"/>
        </w:rPr>
        <w:t>202</w:t>
      </w:r>
      <w:r>
        <w:rPr>
          <w:rFonts w:hint="eastAsia" w:ascii="CESI宋体-GB2312" w:hAnsi="CESI宋体-GB2312" w:eastAsia="CESI宋体-GB2312" w:cs="CESI宋体-GB2312"/>
          <w:b w:val="0"/>
          <w:i w:val="0"/>
          <w:color w:val="FF0000"/>
          <w:kern w:val="0"/>
          <w:sz w:val="28"/>
          <w:szCs w:val="28"/>
          <w:highlight w:val="cyan"/>
          <w:u w:val="single"/>
          <w:shd w:val="clear" w:fill="FFFFFF"/>
          <w:lang w:val="en-US" w:eastAsia="zh-CN" w:bidi="ar"/>
        </w:rPr>
        <w:t>6</w:t>
      </w:r>
      <w:r>
        <w:rPr>
          <w:rFonts w:hint="default" w:ascii="CESI宋体-GB2312" w:hAnsi="CESI宋体-GB2312" w:eastAsia="CESI宋体-GB2312" w:cs="CESI宋体-GB2312"/>
          <w:b w:val="0"/>
          <w:i w:val="0"/>
          <w:color w:val="FF0000"/>
          <w:kern w:val="0"/>
          <w:sz w:val="28"/>
          <w:szCs w:val="28"/>
          <w:highlight w:val="cyan"/>
          <w:u w:val="single"/>
          <w:shd w:val="clear" w:fill="FFFFFF"/>
          <w:lang w:val="en-US" w:eastAsia="zh-CN" w:bidi="ar"/>
        </w:rPr>
        <w:t>-</w:t>
      </w:r>
      <w:r>
        <w:rPr>
          <w:rFonts w:hint="eastAsia" w:ascii="CESI宋体-GB2312" w:hAnsi="CESI宋体-GB2312" w:eastAsia="CESI宋体-GB2312" w:cs="CESI宋体-GB2312"/>
          <w:b w:val="0"/>
          <w:i w:val="0"/>
          <w:color w:val="FF0000"/>
          <w:kern w:val="0"/>
          <w:sz w:val="28"/>
          <w:szCs w:val="28"/>
          <w:highlight w:val="cyan"/>
          <w:u w:val="single"/>
          <w:shd w:val="clear" w:fill="FFFFFF"/>
          <w:lang w:val="en-US" w:eastAsia="zh-CN" w:bidi="ar"/>
        </w:rPr>
        <w:t>01-13</w:t>
      </w:r>
      <w:r>
        <w:rPr>
          <w:rFonts w:hint="default" w:ascii="CESI宋体-GB2312" w:hAnsi="CESI宋体-GB2312" w:eastAsia="CESI宋体-GB2312" w:cs="CESI宋体-GB2312"/>
          <w:b w:val="0"/>
          <w:i w:val="0"/>
          <w:color w:val="FF0000"/>
          <w:kern w:val="0"/>
          <w:sz w:val="28"/>
          <w:szCs w:val="28"/>
          <w:highlight w:val="cyan"/>
          <w:u w:val="single"/>
          <w:shd w:val="clear" w:fill="FFFFFF"/>
          <w:lang w:val="en-US" w:eastAsia="zh-CN" w:bidi="ar"/>
        </w:rPr>
        <w:t xml:space="preserve"> </w:t>
      </w:r>
      <w:r>
        <w:rPr>
          <w:rFonts w:hint="eastAsia" w:ascii="CESI宋体-GB2312" w:hAnsi="CESI宋体-GB2312" w:eastAsia="CESI宋体-GB2312" w:cs="CESI宋体-GB2312"/>
          <w:b w:val="0"/>
          <w:i w:val="0"/>
          <w:color w:val="FF0000"/>
          <w:kern w:val="0"/>
          <w:sz w:val="28"/>
          <w:szCs w:val="28"/>
          <w:highlight w:val="cyan"/>
          <w:u w:val="single"/>
          <w:shd w:val="clear" w:fill="FFFFFF"/>
          <w:lang w:val="en-US" w:eastAsia="zh-CN" w:bidi="ar"/>
        </w:rPr>
        <w:t>08:00</w:t>
      </w:r>
      <w:r>
        <w:rPr>
          <w:rFonts w:hint="default" w:ascii="CESI宋体-GB2312" w:hAnsi="CESI宋体-GB2312" w:eastAsia="CESI宋体-GB2312" w:cs="CESI宋体-GB2312"/>
          <w:b w:val="0"/>
          <w:i w:val="0"/>
          <w:color w:val="FF0000"/>
          <w:kern w:val="0"/>
          <w:sz w:val="28"/>
          <w:szCs w:val="28"/>
          <w:highlight w:val="yellow"/>
          <w:u w:val="single"/>
          <w:shd w:val="clear" w:fill="FFFFFF"/>
          <w:lang w:val="en-US" w:eastAsia="zh-CN" w:bidi="ar"/>
        </w:rPr>
        <w:t>】</w:t>
      </w:r>
      <w:r>
        <w:rPr>
          <w:rFonts w:hint="default" w:ascii="CESI宋体-GB2312" w:hAnsi="CESI宋体-GB2312" w:eastAsia="CESI宋体-GB2312" w:cs="CESI宋体-GB2312"/>
          <w:kern w:val="0"/>
          <w:sz w:val="28"/>
          <w:szCs w:val="28"/>
          <w:shd w:val="clear" w:fill="FFFFFF"/>
          <w:lang w:val="en-US" w:eastAsia="zh-CN" w:bidi="ar"/>
        </w:rPr>
        <w:t>，</w:t>
      </w:r>
      <w:r>
        <w:rPr>
          <w:rFonts w:hint="eastAsia" w:ascii="宋体" w:hAnsi="宋体" w:eastAsia="宋体" w:cs="宋体"/>
          <w:color w:val="auto"/>
          <w:sz w:val="28"/>
          <w:szCs w:val="28"/>
          <w:highlight w:val="none"/>
          <w:lang w:val="en-US" w:eastAsia="zh-CN"/>
        </w:rPr>
        <w:t>中车购平台（</w:t>
      </w:r>
      <w:r>
        <w:rPr>
          <w:rFonts w:hint="eastAsia" w:ascii="宋体" w:hAnsi="宋体" w:eastAsia="宋体" w:cs="宋体"/>
          <w:b w:val="0"/>
          <w:bCs w:val="0"/>
          <w:color w:val="auto"/>
          <w:sz w:val="28"/>
          <w:szCs w:val="28"/>
          <w:highlight w:val="none"/>
          <w:lang w:val="en-US" w:eastAsia="zh-CN"/>
        </w:rPr>
        <w:t>https://www.crrcgo.cc</w:t>
      </w:r>
      <w:r>
        <w:rPr>
          <w:rFonts w:hint="eastAsia" w:ascii="宋体" w:hAnsi="宋体" w:eastAsia="宋体" w:cs="宋体"/>
          <w:color w:val="auto"/>
          <w:sz w:val="28"/>
          <w:szCs w:val="28"/>
          <w:highlight w:val="none"/>
          <w:lang w:val="en-US" w:eastAsia="zh-CN"/>
        </w:rPr>
        <w:t>） 电子上传文件递交</w:t>
      </w:r>
      <w:r>
        <w:rPr>
          <w:rFonts w:hint="eastAsia" w:ascii="CESI宋体-GB2312" w:hAnsi="CESI宋体-GB2312" w:eastAsia="CESI宋体-GB2312" w:cs="CESI宋体-GB2312"/>
          <w:kern w:val="0"/>
          <w:sz w:val="28"/>
          <w:szCs w:val="28"/>
          <w:shd w:val="clear" w:fill="FFFFFF"/>
          <w:lang w:val="en-US" w:eastAsia="zh-CN" w:bidi="ar"/>
        </w:rPr>
        <w:t>。</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kern w:val="0"/>
          <w:sz w:val="28"/>
          <w:szCs w:val="28"/>
          <w:shd w:val="clear" w:fill="FFFFFF"/>
          <w:lang w:val="en-US" w:eastAsia="zh-CN" w:bidi="ar"/>
        </w:rPr>
      </w:pPr>
      <w:r>
        <w:rPr>
          <w:rFonts w:hint="default" w:ascii="CESI宋体-GB2312" w:hAnsi="CESI宋体-GB2312" w:eastAsia="CESI宋体-GB2312" w:cs="CESI宋体-GB2312"/>
          <w:kern w:val="0"/>
          <w:sz w:val="28"/>
          <w:szCs w:val="28"/>
          <w:shd w:val="clear" w:fill="FFFFFF"/>
          <w:lang w:val="en-US" w:eastAsia="zh-CN" w:bidi="ar"/>
        </w:rPr>
        <w:t>2.供应商逾期递交采购响应文件的，采购人将予以拒收。</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CESI宋体-GB2312" w:hAnsi="CESI宋体-GB2312" w:eastAsia="CESI宋体-GB2312" w:cs="CESI宋体-GB2312"/>
          <w:color w:val="0070C0"/>
          <w:kern w:val="0"/>
          <w:sz w:val="28"/>
          <w:szCs w:val="28"/>
          <w:shd w:val="clear" w:fill="FFFFFF"/>
          <w:lang w:val="zh-CN" w:eastAsia="zh-CN" w:bidi="ar"/>
        </w:rPr>
      </w:pPr>
      <w:r>
        <w:rPr>
          <w:rFonts w:hint="eastAsia" w:ascii="CESI宋体-GB2312" w:hAnsi="CESI宋体-GB2312" w:eastAsia="CESI宋体-GB2312" w:cs="CESI宋体-GB2312"/>
          <w:kern w:val="0"/>
          <w:sz w:val="28"/>
          <w:szCs w:val="28"/>
          <w:shd w:val="clear" w:fill="FFFFFF"/>
          <w:lang w:val="en-US" w:eastAsia="zh-CN" w:bidi="ar"/>
        </w:rPr>
        <w:t>3.招标书每</w:t>
      </w:r>
      <w:r>
        <w:rPr>
          <w:rFonts w:hint="eastAsia" w:ascii="CESI宋体-GB2312" w:hAnsi="CESI宋体-GB2312" w:eastAsia="CESI宋体-GB2312" w:cs="CESI宋体-GB2312"/>
          <w:color w:val="FF0000"/>
          <w:kern w:val="0"/>
          <w:sz w:val="28"/>
          <w:szCs w:val="28"/>
          <w:shd w:val="clear" w:fill="FFFFFF"/>
          <w:lang w:val="en-US" w:eastAsia="zh-CN" w:bidi="ar"/>
        </w:rPr>
        <w:t>100元人民币</w:t>
      </w:r>
      <w:r>
        <w:rPr>
          <w:rFonts w:hint="eastAsia" w:ascii="CESI宋体-GB2312" w:hAnsi="CESI宋体-GB2312" w:eastAsia="CESI宋体-GB2312" w:cs="CESI宋体-GB2312"/>
          <w:kern w:val="0"/>
          <w:sz w:val="28"/>
          <w:szCs w:val="28"/>
          <w:shd w:val="clear" w:fill="FFFFFF"/>
          <w:lang w:val="en-US" w:eastAsia="zh-CN" w:bidi="ar"/>
        </w:rPr>
        <w:t>，售后不退</w:t>
      </w:r>
      <w:r>
        <w:rPr>
          <w:rFonts w:hint="eastAsia" w:ascii="CESI宋体-GB2312" w:hAnsi="CESI宋体-GB2312" w:eastAsia="CESI宋体-GB2312" w:cs="CESI宋体-GB2312"/>
          <w:kern w:val="0"/>
          <w:sz w:val="28"/>
          <w:szCs w:val="28"/>
          <w:shd w:val="clear" w:fill="FFFFFF"/>
          <w:lang w:val="zh-CN" w:eastAsia="zh-CN" w:bidi="ar"/>
        </w:rPr>
        <w:t>（如参加投标可在开标前与投标保证金一并交纳）。</w:t>
      </w:r>
      <w:r>
        <w:rPr>
          <w:rFonts w:hint="eastAsia" w:ascii="CESI宋体-GB2312" w:hAnsi="CESI宋体-GB2312" w:eastAsia="CESI宋体-GB2312" w:cs="CESI宋体-GB2312"/>
          <w:kern w:val="0"/>
          <w:sz w:val="28"/>
          <w:szCs w:val="28"/>
          <w:shd w:val="clear" w:fill="FFFFFF"/>
          <w:lang w:val="en-US" w:eastAsia="zh-CN" w:bidi="ar"/>
        </w:rPr>
        <w:t>未购标书者投标无效。</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CESI宋体-GB2312" w:hAnsi="CESI宋体-GB2312" w:eastAsia="CESI宋体-GB2312" w:cs="CESI宋体-GB2312"/>
          <w:kern w:val="0"/>
          <w:sz w:val="28"/>
          <w:szCs w:val="28"/>
          <w:shd w:val="clear" w:fill="FFFFFF"/>
          <w:lang w:val="zh-CN" w:eastAsia="zh-CN" w:bidi="ar"/>
        </w:rPr>
      </w:pPr>
      <w:r>
        <w:rPr>
          <w:rFonts w:hint="eastAsia" w:ascii="CESI宋体-GB2312" w:hAnsi="CESI宋体-GB2312" w:eastAsia="CESI宋体-GB2312" w:cs="CESI宋体-GB2312"/>
          <w:kern w:val="0"/>
          <w:sz w:val="28"/>
          <w:szCs w:val="28"/>
          <w:shd w:val="clear" w:fill="FFFFFF"/>
          <w:lang w:val="en-US" w:eastAsia="zh-CN" w:bidi="ar"/>
        </w:rPr>
        <w:t>4.投标保证金</w:t>
      </w:r>
      <w:r>
        <w:rPr>
          <w:rFonts w:hint="eastAsia" w:ascii="CESI宋体-GB2312" w:hAnsi="CESI宋体-GB2312" w:eastAsia="CESI宋体-GB2312" w:cs="CESI宋体-GB2312"/>
          <w:color w:val="FF0000"/>
          <w:kern w:val="0"/>
          <w:sz w:val="28"/>
          <w:szCs w:val="28"/>
          <w:shd w:val="clear" w:fill="FFFFFF"/>
          <w:lang w:val="en-US" w:eastAsia="zh-CN" w:bidi="ar"/>
        </w:rPr>
        <w:t>50000元（大写：伍万元整）</w:t>
      </w:r>
      <w:r>
        <w:rPr>
          <w:rFonts w:hint="eastAsia" w:ascii="CESI宋体-GB2312" w:hAnsi="CESI宋体-GB2312" w:eastAsia="CESI宋体-GB2312" w:cs="CESI宋体-GB2312"/>
          <w:kern w:val="0"/>
          <w:sz w:val="28"/>
          <w:szCs w:val="28"/>
          <w:shd w:val="clear" w:fill="FFFFFF"/>
          <w:lang w:val="zh-CN" w:eastAsia="zh-CN" w:bidi="ar"/>
        </w:rPr>
        <w:t>，如参加投标，</w:t>
      </w:r>
      <w:r>
        <w:rPr>
          <w:rFonts w:hint="eastAsia" w:ascii="CESI宋体-GB2312" w:hAnsi="CESI宋体-GB2312" w:eastAsia="CESI宋体-GB2312" w:cs="CESI宋体-GB2312"/>
          <w:color w:val="FF0000"/>
          <w:kern w:val="0"/>
          <w:sz w:val="28"/>
          <w:szCs w:val="28"/>
          <w:shd w:val="clear" w:fill="FFFFFF"/>
          <w:lang w:val="zh-CN" w:eastAsia="zh-CN" w:bidi="ar"/>
        </w:rPr>
        <w:t>投标方在交纳投标书前须向石家庄国祥运输设备</w:t>
      </w:r>
      <w:r>
        <w:rPr>
          <w:rFonts w:hint="eastAsia" w:ascii="CESI宋体-GB2312" w:hAnsi="CESI宋体-GB2312" w:eastAsia="CESI宋体-GB2312" w:cs="CESI宋体-GB2312"/>
          <w:color w:val="FF0000"/>
          <w:kern w:val="0"/>
          <w:sz w:val="28"/>
          <w:szCs w:val="28"/>
          <w:shd w:val="clear" w:fill="FFFFFF"/>
          <w:lang w:val="en-US" w:eastAsia="zh-CN" w:bidi="ar"/>
        </w:rPr>
        <w:t>有限</w:t>
      </w:r>
      <w:r>
        <w:rPr>
          <w:rFonts w:hint="eastAsia" w:ascii="CESI宋体-GB2312" w:hAnsi="CESI宋体-GB2312" w:eastAsia="CESI宋体-GB2312" w:cs="CESI宋体-GB2312"/>
          <w:color w:val="FF0000"/>
          <w:kern w:val="0"/>
          <w:sz w:val="28"/>
          <w:szCs w:val="28"/>
          <w:shd w:val="clear" w:fill="FFFFFF"/>
          <w:lang w:val="zh-CN" w:eastAsia="zh-CN" w:bidi="ar"/>
        </w:rPr>
        <w:t>公司交纳</w:t>
      </w:r>
      <w:r>
        <w:rPr>
          <w:rFonts w:hint="eastAsia" w:ascii="CESI宋体-GB2312" w:hAnsi="CESI宋体-GB2312" w:eastAsia="CESI宋体-GB2312" w:cs="CESI宋体-GB2312"/>
          <w:color w:val="FF0000"/>
          <w:kern w:val="0"/>
          <w:sz w:val="28"/>
          <w:szCs w:val="28"/>
          <w:shd w:val="clear" w:fill="FFFFFF"/>
          <w:lang w:val="en-US" w:eastAsia="zh-CN" w:bidi="ar"/>
        </w:rPr>
        <w:t>并备注采购项目名称</w:t>
      </w:r>
      <w:r>
        <w:rPr>
          <w:rFonts w:hint="eastAsia" w:ascii="CESI宋体-GB2312" w:hAnsi="CESI宋体-GB2312" w:eastAsia="CESI宋体-GB2312" w:cs="CESI宋体-GB2312"/>
          <w:kern w:val="0"/>
          <w:sz w:val="28"/>
          <w:szCs w:val="28"/>
          <w:shd w:val="clear" w:fill="FFFFFF"/>
          <w:lang w:val="zh-CN" w:eastAsia="zh-CN" w:bidi="ar"/>
        </w:rPr>
        <w:t>。账户信息如下：</w:t>
      </w:r>
    </w:p>
    <w:p>
      <w:pPr>
        <w:keepNext w:val="0"/>
        <w:keepLines w:val="0"/>
        <w:pageBreakBefore w:val="0"/>
        <w:kinsoku/>
        <w:wordWrap/>
        <w:overflowPunct/>
        <w:topLinePunct w:val="0"/>
        <w:autoSpaceDN/>
        <w:bidi w:val="0"/>
        <w:spacing w:beforeAutospacing="0" w:afterAutospacing="0"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val="zh-CN" w:eastAsia="zh-CN"/>
        </w:rPr>
      </w:pPr>
      <w:r>
        <w:rPr>
          <w:rFonts w:hint="eastAsia" w:ascii="宋体" w:hAnsi="宋体" w:eastAsia="宋体" w:cs="宋体"/>
          <w:b/>
          <w:bCs/>
          <w:color w:val="FF0000"/>
          <w:sz w:val="28"/>
          <w:szCs w:val="28"/>
          <w:highlight w:val="none"/>
          <w:lang w:val="zh-CN" w:eastAsia="zh-CN"/>
        </w:rPr>
        <w:t>投标保证金电汇账户信息</w:t>
      </w:r>
      <w:r>
        <w:rPr>
          <w:rFonts w:hint="eastAsia" w:ascii="宋体" w:hAnsi="宋体" w:eastAsia="宋体" w:cs="宋体"/>
          <w:b/>
          <w:bCs/>
          <w:color w:val="auto"/>
          <w:sz w:val="28"/>
          <w:szCs w:val="28"/>
          <w:highlight w:val="none"/>
          <w:lang w:val="zh-CN" w:eastAsia="zh-CN"/>
        </w:rPr>
        <w:t>：</w:t>
      </w:r>
    </w:p>
    <w:p>
      <w:pPr>
        <w:keepNext w:val="0"/>
        <w:keepLines w:val="0"/>
        <w:pageBreakBefore w:val="0"/>
        <w:kinsoku/>
        <w:wordWrap/>
        <w:overflowPunct/>
        <w:topLinePunct w:val="0"/>
        <w:autoSpaceDN/>
        <w:bidi w:val="0"/>
        <w:spacing w:beforeAutospacing="0" w:afterAutospacing="0"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val="zh-CN" w:eastAsia="zh-CN"/>
        </w:rPr>
      </w:pPr>
      <w:r>
        <w:rPr>
          <w:rFonts w:hint="eastAsia" w:ascii="宋体" w:hAnsi="宋体" w:eastAsia="宋体" w:cs="宋体"/>
          <w:b/>
          <w:bCs/>
          <w:color w:val="auto"/>
          <w:sz w:val="28"/>
          <w:szCs w:val="28"/>
          <w:highlight w:val="none"/>
          <w:lang w:val="zh-CN" w:eastAsia="zh-CN"/>
        </w:rPr>
        <w:t>开户单位：石家庄国祥运输设备有限公司</w:t>
      </w:r>
    </w:p>
    <w:p>
      <w:pPr>
        <w:keepNext w:val="0"/>
        <w:keepLines w:val="0"/>
        <w:pageBreakBefore w:val="0"/>
        <w:kinsoku/>
        <w:wordWrap/>
        <w:overflowPunct/>
        <w:topLinePunct w:val="0"/>
        <w:autoSpaceDN/>
        <w:bidi w:val="0"/>
        <w:spacing w:beforeAutospacing="0" w:afterAutospacing="0"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val="zh-CN" w:eastAsia="zh-CN"/>
        </w:rPr>
      </w:pPr>
      <w:r>
        <w:rPr>
          <w:rFonts w:hint="eastAsia" w:ascii="宋体" w:hAnsi="宋体" w:eastAsia="宋体" w:cs="宋体"/>
          <w:b/>
          <w:bCs/>
          <w:color w:val="auto"/>
          <w:sz w:val="28"/>
          <w:szCs w:val="28"/>
          <w:highlight w:val="none"/>
          <w:lang w:val="zh-CN" w:eastAsia="zh-CN"/>
        </w:rPr>
        <w:t>开户行：中国建设银行股份有限公司石家庄新华支行</w:t>
      </w:r>
    </w:p>
    <w:p>
      <w:pPr>
        <w:keepNext w:val="0"/>
        <w:keepLines w:val="0"/>
        <w:pageBreakBefore w:val="0"/>
        <w:kinsoku/>
        <w:wordWrap/>
        <w:overflowPunct/>
        <w:topLinePunct w:val="0"/>
        <w:autoSpaceDN/>
        <w:bidi w:val="0"/>
        <w:spacing w:beforeAutospacing="0" w:afterAutospacing="0"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val="zh-CN" w:eastAsia="zh-CN"/>
        </w:rPr>
      </w:pPr>
      <w:r>
        <w:rPr>
          <w:rFonts w:hint="eastAsia" w:ascii="宋体" w:hAnsi="宋体" w:eastAsia="宋体" w:cs="宋体"/>
          <w:b/>
          <w:bCs/>
          <w:color w:val="auto"/>
          <w:sz w:val="28"/>
          <w:szCs w:val="28"/>
          <w:highlight w:val="none"/>
          <w:lang w:val="zh-CN" w:eastAsia="zh-CN"/>
        </w:rPr>
        <w:t>银行帐号：13001615108050505945</w:t>
      </w:r>
    </w:p>
    <w:p>
      <w:pPr>
        <w:keepNext w:val="0"/>
        <w:keepLines w:val="0"/>
        <w:pageBreakBefore w:val="0"/>
        <w:kinsoku/>
        <w:wordWrap/>
        <w:overflowPunct/>
        <w:topLinePunct w:val="0"/>
        <w:autoSpaceDN/>
        <w:bidi w:val="0"/>
        <w:spacing w:beforeAutospacing="0" w:afterAutospacing="0"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val="zh-CN" w:eastAsia="zh-CN"/>
        </w:rPr>
      </w:pP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2" w:firstLineChars="200"/>
        <w:jc w:val="left"/>
        <w:textAlignment w:val="auto"/>
        <w:rPr>
          <w:rFonts w:hint="eastAsia" w:ascii="宋体" w:hAnsi="宋体" w:eastAsia="宋体" w:cs="宋体"/>
          <w:b/>
          <w:bCs/>
          <w:color w:val="auto"/>
          <w:kern w:val="2"/>
          <w:sz w:val="28"/>
          <w:szCs w:val="28"/>
          <w:highlight w:val="none"/>
          <w:lang w:val="zh-CN" w:eastAsia="zh-CN" w:bidi="ar-SA"/>
        </w:rPr>
      </w:pPr>
      <w:r>
        <w:rPr>
          <w:rFonts w:hint="eastAsia" w:ascii="宋体" w:hAnsi="宋体" w:eastAsia="宋体" w:cs="宋体"/>
          <w:b/>
          <w:bCs/>
          <w:color w:val="FF0000"/>
          <w:kern w:val="2"/>
          <w:sz w:val="28"/>
          <w:szCs w:val="28"/>
          <w:highlight w:val="none"/>
          <w:lang w:val="zh-CN" w:eastAsia="zh-CN" w:bidi="ar-SA"/>
        </w:rPr>
        <w:t>标书费电汇账户信息</w:t>
      </w:r>
      <w:r>
        <w:rPr>
          <w:rFonts w:hint="eastAsia" w:ascii="宋体" w:hAnsi="宋体" w:eastAsia="宋体" w:cs="宋体"/>
          <w:b/>
          <w:bCs/>
          <w:color w:val="auto"/>
          <w:kern w:val="2"/>
          <w:sz w:val="28"/>
          <w:szCs w:val="28"/>
          <w:highlight w:val="none"/>
          <w:lang w:val="zh-CN" w:eastAsia="zh-CN" w:bidi="ar-SA"/>
        </w:rPr>
        <w:t>：</w:t>
      </w:r>
    </w:p>
    <w:p>
      <w:pPr>
        <w:spacing w:line="560" w:lineRule="exact"/>
        <w:ind w:firstLine="562" w:firstLineChars="200"/>
        <w:rPr>
          <w:rFonts w:hint="eastAsia" w:ascii="宋体" w:hAnsi="宋体" w:cs="宋体"/>
          <w:b/>
          <w:bCs/>
          <w:sz w:val="28"/>
          <w:szCs w:val="28"/>
          <w:lang w:val="zh-CN"/>
        </w:rPr>
      </w:pPr>
      <w:r>
        <w:rPr>
          <w:rFonts w:hint="eastAsia" w:ascii="宋体" w:hAnsi="宋体" w:cs="宋体"/>
          <w:b/>
          <w:bCs/>
          <w:sz w:val="28"/>
          <w:szCs w:val="28"/>
          <w:lang w:val="zh-CN"/>
        </w:rPr>
        <w:t>账户名称：中车石家庄车辆有限公司</w:t>
      </w:r>
    </w:p>
    <w:p>
      <w:pPr>
        <w:spacing w:line="560" w:lineRule="exact"/>
        <w:ind w:firstLine="562" w:firstLineChars="200"/>
        <w:rPr>
          <w:rFonts w:hint="eastAsia" w:ascii="宋体" w:hAnsi="宋体" w:cs="宋体"/>
          <w:b/>
          <w:bCs/>
          <w:sz w:val="28"/>
          <w:szCs w:val="28"/>
          <w:lang w:val="zh-CN"/>
        </w:rPr>
      </w:pPr>
      <w:r>
        <w:rPr>
          <w:rFonts w:hint="eastAsia" w:ascii="宋体" w:hAnsi="宋体" w:cs="宋体"/>
          <w:b/>
          <w:bCs/>
          <w:sz w:val="28"/>
          <w:szCs w:val="28"/>
          <w:lang w:val="zh-CN"/>
        </w:rPr>
        <w:t>开户银行账号：01-10-0113000000-1</w:t>
      </w:r>
    </w:p>
    <w:p>
      <w:pPr>
        <w:spacing w:line="560" w:lineRule="exact"/>
        <w:ind w:firstLine="562" w:firstLineChars="200"/>
        <w:rPr>
          <w:rFonts w:hint="eastAsia" w:ascii="宋体" w:hAnsi="宋体" w:cs="宋体"/>
          <w:b/>
          <w:bCs/>
          <w:sz w:val="28"/>
          <w:szCs w:val="28"/>
          <w:lang w:val="zh-CN"/>
        </w:rPr>
      </w:pPr>
      <w:r>
        <w:rPr>
          <w:rFonts w:hint="eastAsia" w:ascii="宋体" w:hAnsi="宋体" w:cs="宋体"/>
          <w:b/>
          <w:bCs/>
          <w:sz w:val="28"/>
          <w:szCs w:val="28"/>
          <w:lang w:val="zh-CN"/>
        </w:rPr>
        <w:t>开户银行名：交通银行北京芳群园支行</w:t>
      </w:r>
    </w:p>
    <w:p>
      <w:pPr>
        <w:spacing w:line="560" w:lineRule="exact"/>
        <w:ind w:firstLine="562" w:firstLineChars="200"/>
        <w:rPr>
          <w:rFonts w:hint="eastAsia" w:ascii="宋体" w:hAnsi="宋体" w:cs="宋体"/>
          <w:b/>
          <w:bCs/>
          <w:sz w:val="28"/>
          <w:szCs w:val="28"/>
        </w:rPr>
      </w:pPr>
      <w:r>
        <w:rPr>
          <w:rFonts w:hint="eastAsia" w:ascii="宋体" w:hAnsi="宋体" w:cs="宋体"/>
          <w:b/>
          <w:bCs/>
          <w:sz w:val="28"/>
          <w:szCs w:val="28"/>
          <w:lang w:val="zh-CN"/>
        </w:rPr>
        <w:t>开户银行行号：301100000664</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2" w:firstLineChars="200"/>
        <w:jc w:val="left"/>
        <w:textAlignment w:val="auto"/>
        <w:rPr>
          <w:rFonts w:hint="eastAsia" w:ascii="宋体" w:hAnsi="宋体" w:eastAsia="宋体" w:cs="宋体"/>
          <w:b/>
          <w:bCs/>
          <w:color w:val="auto"/>
          <w:kern w:val="2"/>
          <w:sz w:val="28"/>
          <w:szCs w:val="28"/>
          <w:highlight w:val="none"/>
          <w:lang w:val="en-US" w:eastAsia="zh-CN" w:bidi="ar-SA"/>
        </w:rPr>
      </w:pP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方正黑体_GBK" w:hAnsi="方正黑体_GBK" w:eastAsia="方正黑体_GBK" w:cs="方正黑体_GBK"/>
          <w:b w:val="0"/>
          <w:bCs w:val="0"/>
          <w:i w:val="0"/>
          <w:iCs w:val="0"/>
          <w:caps w:val="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七、发布公告媒体</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本采购公告通过“中车购2.0平台”（http://www.crrcgo.cc）随采购文件同步发布，并在“中车购2.0平台”平台实施线上采购活动。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Cs/>
          <w:color w:val="auto"/>
          <w:kern w:val="2"/>
          <w:sz w:val="28"/>
          <w:szCs w:val="28"/>
          <w:highlight w:val="none"/>
          <w:lang w:val="en-US" w:eastAsia="zh-CN" w:bidi="ar-SA"/>
        </w:rPr>
        <w:t>2.以任何形式对本采购公告进行篡改、转载或发布一律无效。采购人不承担任何责任。</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八、响应</w:t>
      </w:r>
      <w:r>
        <w:rPr>
          <w:rFonts w:hint="eastAsia" w:ascii="宋体" w:hAnsi="宋体" w:cs="宋体"/>
          <w:b/>
          <w:bCs/>
          <w:color w:val="auto"/>
          <w:sz w:val="28"/>
          <w:szCs w:val="28"/>
          <w:highlight w:val="none"/>
          <w:lang w:val="en-US" w:eastAsia="zh-CN"/>
        </w:rPr>
        <w:t>（投标）</w:t>
      </w:r>
      <w:r>
        <w:rPr>
          <w:rFonts w:hint="eastAsia" w:ascii="宋体" w:hAnsi="宋体" w:eastAsia="宋体" w:cs="宋体"/>
          <w:b/>
          <w:bCs/>
          <w:color w:val="auto"/>
          <w:sz w:val="28"/>
          <w:szCs w:val="28"/>
          <w:highlight w:val="none"/>
          <w:lang w:val="en-US" w:eastAsia="zh-CN"/>
        </w:rPr>
        <w:t>文件开启时间及地点</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560" w:firstLineChars="200"/>
        <w:textAlignment w:val="auto"/>
        <w:rPr>
          <w:rFonts w:hint="default" w:ascii="宋体" w:hAnsi="宋体" w:eastAsia="宋体" w:cs="宋体"/>
          <w:bCs/>
          <w:color w:val="FF0000"/>
          <w:kern w:val="2"/>
          <w:sz w:val="28"/>
          <w:szCs w:val="28"/>
          <w:highlight w:val="yellow"/>
          <w:lang w:val="en-US" w:eastAsia="zh-CN" w:bidi="ar-SA"/>
        </w:rPr>
      </w:pPr>
      <w:r>
        <w:rPr>
          <w:rFonts w:hint="eastAsia" w:ascii="宋体" w:hAnsi="宋体" w:eastAsia="宋体" w:cs="宋体"/>
          <w:bCs/>
          <w:color w:val="auto"/>
          <w:kern w:val="2"/>
          <w:sz w:val="28"/>
          <w:szCs w:val="28"/>
          <w:highlight w:val="none"/>
          <w:lang w:val="en-US" w:eastAsia="zh-CN" w:bidi="ar-SA"/>
        </w:rPr>
        <w:t>1.开启时间</w:t>
      </w:r>
      <w:r>
        <w:rPr>
          <w:rFonts w:hint="eastAsia" w:ascii="宋体" w:hAnsi="宋体" w:eastAsia="宋体" w:cs="宋体"/>
          <w:bCs/>
          <w:color w:val="auto"/>
          <w:kern w:val="2"/>
          <w:sz w:val="28"/>
          <w:szCs w:val="28"/>
          <w:highlight w:val="cyan"/>
          <w:lang w:val="en-US" w:eastAsia="zh-CN" w:bidi="ar-SA"/>
        </w:rPr>
        <w:t>：</w:t>
      </w:r>
      <w:r>
        <w:rPr>
          <w:rFonts w:hint="eastAsia" w:ascii="宋体" w:hAnsi="宋体" w:cs="宋体"/>
          <w:bCs/>
          <w:color w:val="FF0000"/>
          <w:kern w:val="2"/>
          <w:sz w:val="28"/>
          <w:szCs w:val="28"/>
          <w:highlight w:val="cyan"/>
          <w:lang w:val="en-US" w:eastAsia="zh-CN" w:bidi="ar-SA"/>
        </w:rPr>
        <w:t>2026年01月13日08时00分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560" w:firstLineChars="200"/>
        <w:textAlignment w:val="auto"/>
        <w:rPr>
          <w:rFonts w:hint="eastAsia" w:ascii="宋体" w:hAnsi="宋体" w:cs="宋体"/>
          <w:bCs/>
          <w:color w:val="auto"/>
          <w:kern w:val="2"/>
          <w:sz w:val="28"/>
          <w:szCs w:val="28"/>
          <w:highlight w:val="none"/>
          <w:lang w:val="en-US" w:eastAsia="zh-CN" w:bidi="ar-SA"/>
        </w:rPr>
      </w:pPr>
      <w:r>
        <w:rPr>
          <w:rFonts w:hint="eastAsia" w:ascii="宋体" w:hAnsi="宋体" w:eastAsia="宋体" w:cs="宋体"/>
          <w:bCs/>
          <w:color w:val="auto"/>
          <w:kern w:val="2"/>
          <w:sz w:val="28"/>
          <w:szCs w:val="28"/>
          <w:highlight w:val="none"/>
          <w:lang w:val="en-US" w:eastAsia="zh-CN" w:bidi="ar-SA"/>
        </w:rPr>
        <w:t>2.开启地点：中车石家庄车辆有限公司评标室（供应链部4楼招标室）</w:t>
      </w:r>
      <w:r>
        <w:rPr>
          <w:rFonts w:hint="eastAsia" w:ascii="宋体" w:hAnsi="宋体" w:cs="宋体"/>
          <w:bCs/>
          <w:color w:val="auto"/>
          <w:kern w:val="2"/>
          <w:sz w:val="28"/>
          <w:szCs w:val="28"/>
          <w:highlight w:val="none"/>
          <w:lang w:val="en-US" w:eastAsia="zh-CN" w:bidi="ar-SA"/>
        </w:rPr>
        <w:t>。</w:t>
      </w:r>
    </w:p>
    <w:p>
      <w:pPr>
        <w:keepNext w:val="0"/>
        <w:keepLines w:val="0"/>
        <w:pageBreakBefore w:val="0"/>
        <w:kinsoku/>
        <w:wordWrap/>
        <w:overflowPunct/>
        <w:topLinePunct w:val="0"/>
        <w:autoSpaceDN/>
        <w:bidi w:val="0"/>
        <w:spacing w:line="560" w:lineRule="exact"/>
        <w:ind w:left="0" w:leftChars="0" w:right="0" w:rightChars="0" w:firstLine="562" w:firstLineChars="200"/>
        <w:textAlignment w:val="auto"/>
        <w:rPr>
          <w:rFonts w:hint="default" w:ascii="CESI宋体-GB2312" w:hAnsi="CESI宋体-GB2312" w:eastAsia="CESI宋体-GB2312" w:cs="CESI宋体-GB2312"/>
          <w:i w:val="0"/>
          <w:iCs w:val="0"/>
          <w:caps w:val="0"/>
          <w:color w:val="FF0000"/>
          <w:spacing w:val="0"/>
          <w:kern w:val="0"/>
          <w:sz w:val="28"/>
          <w:szCs w:val="28"/>
          <w:shd w:val="clear" w:fill="FFFFFF"/>
          <w:lang w:val="en-US" w:eastAsia="zh-CN" w:bidi="ar"/>
        </w:rPr>
      </w:pPr>
      <w:r>
        <w:rPr>
          <w:rFonts w:hint="eastAsia" w:ascii="宋体" w:hAnsi="宋体" w:eastAsia="宋体" w:cs="宋体"/>
          <w:b/>
          <w:bCs w:val="0"/>
          <w:color w:val="FF0000"/>
          <w:kern w:val="2"/>
          <w:sz w:val="28"/>
          <w:szCs w:val="28"/>
          <w:highlight w:val="none"/>
          <w:lang w:val="en-US" w:eastAsia="zh-CN" w:bidi="ar-SA"/>
        </w:rPr>
        <w:t>3.本项目为全流程</w:t>
      </w:r>
      <w:r>
        <w:rPr>
          <w:rFonts w:hint="eastAsia" w:ascii="宋体" w:hAnsi="宋体" w:cs="宋体"/>
          <w:b/>
          <w:bCs w:val="0"/>
          <w:color w:val="FF0000"/>
          <w:kern w:val="2"/>
          <w:sz w:val="28"/>
          <w:szCs w:val="28"/>
          <w:highlight w:val="none"/>
          <w:lang w:val="en-US" w:eastAsia="zh-CN" w:bidi="ar-SA"/>
        </w:rPr>
        <w:t>线上评标</w:t>
      </w:r>
      <w:r>
        <w:rPr>
          <w:rFonts w:hint="eastAsia" w:ascii="宋体" w:hAnsi="宋体" w:eastAsia="宋体" w:cs="宋体"/>
          <w:b/>
          <w:bCs w:val="0"/>
          <w:color w:val="FF0000"/>
          <w:kern w:val="2"/>
          <w:sz w:val="28"/>
          <w:szCs w:val="28"/>
          <w:highlight w:val="none"/>
          <w:lang w:val="en-US" w:eastAsia="zh-CN" w:bidi="ar-SA"/>
        </w:rPr>
        <w:t>，投标人需</w:t>
      </w:r>
      <w:r>
        <w:rPr>
          <w:rFonts w:hint="eastAsia" w:ascii="宋体" w:hAnsi="宋体" w:cs="宋体"/>
          <w:b/>
          <w:bCs w:val="0"/>
          <w:color w:val="FF0000"/>
          <w:kern w:val="2"/>
          <w:sz w:val="28"/>
          <w:szCs w:val="28"/>
          <w:highlight w:val="none"/>
          <w:lang w:val="en-US" w:eastAsia="zh-CN" w:bidi="ar-SA"/>
        </w:rPr>
        <w:t>有代表在开标期间保持电话畅通，且有电脑等设施进行线上（中车购2.0）回复相关内容，必要时采购方组织腾讯会议的方式进行沟通交流，响应方答复内容需真实有效。</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方正黑体_GBK" w:hAnsi="方正黑体_GBK" w:eastAsia="方正黑体_GBK" w:cs="方正黑体_GBK"/>
          <w:b w:val="0"/>
          <w:bCs w:val="0"/>
          <w:i w:val="0"/>
          <w:iCs w:val="0"/>
          <w:caps w:val="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九、监督部门</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本项目的监督部门为：</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eastAsia" w:ascii="宋体" w:hAnsi="宋体" w:eastAsia="宋体" w:cs="宋体"/>
          <w:color w:val="auto"/>
          <w:spacing w:val="14"/>
          <w:sz w:val="28"/>
          <w:szCs w:val="28"/>
          <w:highlight w:val="none"/>
          <w:lang w:val="en-US" w:eastAsia="zh-CN"/>
        </w:rPr>
        <w:t>中车石家庄车辆有限公司</w:t>
      </w:r>
      <w:r>
        <w:rPr>
          <w:rFonts w:hint="eastAsia" w:ascii="宋体" w:hAnsi="宋体" w:eastAsia="宋体" w:cs="宋体"/>
          <w:color w:val="auto"/>
          <w:sz w:val="28"/>
          <w:szCs w:val="28"/>
          <w:highlight w:val="none"/>
          <w:lang w:val="en-US" w:eastAsia="zh-CN"/>
        </w:rPr>
        <w:t>审计与法律事务部</w:t>
      </w:r>
      <w:r>
        <w:rPr>
          <w:rFonts w:hint="default" w:ascii="CESI宋体-GB2312" w:hAnsi="CESI宋体-GB2312" w:eastAsia="CESI宋体-GB2312" w:cs="CESI宋体-GB2312"/>
          <w:b w:val="0"/>
          <w:i w:val="0"/>
          <w:kern w:val="0"/>
          <w:sz w:val="28"/>
          <w:szCs w:val="28"/>
          <w:u w:val="single"/>
          <w:shd w:val="clear" w:fill="FFFFFF"/>
          <w:lang w:val="en-US" w:eastAsia="zh-CN" w:bidi="ar"/>
        </w:rPr>
        <w:t>】</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eastAsia" w:ascii="方正黑体_GBK" w:hAnsi="方正黑体_GBK" w:eastAsia="方正黑体_GBK" w:cs="方正黑体_GBK"/>
          <w:b w:val="0"/>
          <w:bCs w:val="0"/>
          <w:i w:val="0"/>
          <w:iCs w:val="0"/>
          <w:caps w:val="0"/>
          <w:spacing w:val="0"/>
          <w:kern w:val="0"/>
          <w:sz w:val="28"/>
          <w:szCs w:val="28"/>
          <w:shd w:val="clear" w:fill="FFFFFF"/>
        </w:rPr>
      </w:pPr>
      <w:r>
        <w:rPr>
          <w:rFonts w:hint="eastAsia" w:ascii="方正黑体_GBK" w:hAnsi="方正黑体_GBK" w:eastAsia="方正黑体_GBK" w:cs="方正黑体_GBK"/>
          <w:b w:val="0"/>
          <w:bCs w:val="0"/>
          <w:i w:val="0"/>
          <w:iCs w:val="0"/>
          <w:caps w:val="0"/>
          <w:spacing w:val="0"/>
          <w:kern w:val="0"/>
          <w:sz w:val="28"/>
          <w:szCs w:val="28"/>
          <w:shd w:val="clear" w:fill="FFFFFF"/>
          <w:lang w:val="en-US" w:eastAsia="zh-CN" w:bidi="ar"/>
        </w:rPr>
        <w:t>十、联系方式</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u w:val="single"/>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联 系 人：</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eastAsia" w:ascii="CESI宋体-GB2312" w:hAnsi="CESI宋体-GB2312" w:eastAsia="CESI宋体-GB2312" w:cs="CESI宋体-GB2312"/>
          <w:b w:val="0"/>
          <w:i w:val="0"/>
          <w:kern w:val="0"/>
          <w:sz w:val="28"/>
          <w:szCs w:val="28"/>
          <w:u w:val="single"/>
          <w:shd w:val="clear" w:fill="FFFFFF"/>
          <w:lang w:val="en-US" w:eastAsia="zh-CN" w:bidi="ar"/>
        </w:rPr>
        <w:t>刘源</w:t>
      </w:r>
      <w:r>
        <w:rPr>
          <w:rFonts w:hint="default" w:ascii="CESI宋体-GB2312" w:hAnsi="CESI宋体-GB2312" w:eastAsia="CESI宋体-GB2312" w:cs="CESI宋体-GB2312"/>
          <w:b w:val="0"/>
          <w:i w:val="0"/>
          <w:kern w:val="0"/>
          <w:sz w:val="28"/>
          <w:szCs w:val="28"/>
          <w:u w:val="single"/>
          <w:shd w:val="clear" w:fill="FFFFFF"/>
          <w:lang w:val="en-US" w:eastAsia="zh-CN" w:bidi="ar"/>
        </w:rPr>
        <w:t xml:space="preserve">】   </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u w:val="single"/>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电    话：</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eastAsia" w:ascii="CESI宋体-GB2312" w:hAnsi="CESI宋体-GB2312" w:eastAsia="CESI宋体-GB2312" w:cs="CESI宋体-GB2312"/>
          <w:i w:val="0"/>
          <w:iCs w:val="0"/>
          <w:caps w:val="0"/>
          <w:spacing w:val="0"/>
          <w:kern w:val="0"/>
          <w:sz w:val="28"/>
          <w:szCs w:val="28"/>
          <w:u w:val="single"/>
          <w:shd w:val="clear" w:fill="FFFFFF"/>
          <w:lang w:val="en-US" w:eastAsia="zh-CN" w:bidi="ar"/>
        </w:rPr>
        <w:t>0311-87637763</w:t>
      </w:r>
      <w:r>
        <w:rPr>
          <w:rFonts w:hint="eastAsia" w:ascii="CESI宋体-GB2312" w:hAnsi="CESI宋体-GB2312" w:eastAsia="CESI宋体-GB2312" w:cs="CESI宋体-GB2312"/>
          <w:b w:val="0"/>
          <w:i w:val="0"/>
          <w:kern w:val="0"/>
          <w:sz w:val="28"/>
          <w:szCs w:val="28"/>
          <w:u w:val="single"/>
          <w:shd w:val="clear" w:fill="FFFFFF"/>
          <w:lang w:val="en-US" w:eastAsia="zh-CN" w:bidi="ar"/>
        </w:rPr>
        <w:t xml:space="preserve"> </w:t>
      </w:r>
      <w:r>
        <w:rPr>
          <w:rFonts w:hint="default" w:ascii="CESI宋体-GB2312" w:hAnsi="CESI宋体-GB2312" w:eastAsia="CESI宋体-GB2312" w:cs="CESI宋体-GB2312"/>
          <w:b w:val="0"/>
          <w:i w:val="0"/>
          <w:kern w:val="0"/>
          <w:sz w:val="28"/>
          <w:szCs w:val="28"/>
          <w:u w:val="single"/>
          <w:shd w:val="clear" w:fill="FFFFFF"/>
          <w:lang w:val="en-US" w:eastAsia="zh-CN" w:bidi="ar"/>
        </w:rPr>
        <w:t xml:space="preserve">】  </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u w:val="single"/>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电子邮箱：</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eastAsia" w:ascii="CESI宋体-GB2312" w:hAnsi="CESI宋体-GB2312" w:eastAsia="CESI宋体-GB2312" w:cs="CESI宋体-GB2312"/>
          <w:i w:val="0"/>
          <w:iCs w:val="0"/>
          <w:caps w:val="0"/>
          <w:spacing w:val="0"/>
          <w:kern w:val="0"/>
          <w:sz w:val="28"/>
          <w:szCs w:val="28"/>
          <w:u w:val="single"/>
          <w:shd w:val="clear" w:fill="FFFFFF"/>
          <w:lang w:val="en-US" w:eastAsia="zh-CN" w:bidi="ar"/>
        </w:rPr>
        <w:t>011300077781@crrcg.cc</w:t>
      </w:r>
      <w:r>
        <w:rPr>
          <w:rFonts w:hint="default" w:ascii="CESI宋体-GB2312" w:hAnsi="CESI宋体-GB2312" w:eastAsia="CESI宋体-GB2312" w:cs="CESI宋体-GB2312"/>
          <w:b w:val="0"/>
          <w:i w:val="0"/>
          <w:kern w:val="0"/>
          <w:sz w:val="28"/>
          <w:szCs w:val="28"/>
          <w:u w:val="single"/>
          <w:shd w:val="clear" w:fill="FFFFFF"/>
          <w:lang w:val="en-US" w:eastAsia="zh-CN" w:bidi="ar"/>
        </w:rPr>
        <w:t xml:space="preserve">】 </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地    址：</w:t>
      </w:r>
      <w:r>
        <w:rPr>
          <w:rFonts w:hint="default" w:ascii="CESI宋体-GB2312" w:hAnsi="CESI宋体-GB2312" w:eastAsia="CESI宋体-GB2312" w:cs="CESI宋体-GB2312"/>
          <w:b w:val="0"/>
          <w:i w:val="0"/>
          <w:kern w:val="0"/>
          <w:sz w:val="28"/>
          <w:szCs w:val="28"/>
          <w:u w:val="single"/>
          <w:shd w:val="clear" w:fill="FFFFFF"/>
          <w:lang w:val="en-US" w:eastAsia="zh-CN" w:bidi="ar"/>
        </w:rPr>
        <w:t>【</w:t>
      </w:r>
      <w:r>
        <w:rPr>
          <w:rFonts w:hint="eastAsia" w:ascii="CESI宋体-GB2312" w:hAnsi="CESI宋体-GB2312" w:eastAsia="CESI宋体-GB2312" w:cs="CESI宋体-GB2312"/>
          <w:b w:val="0"/>
          <w:i w:val="0"/>
          <w:kern w:val="0"/>
          <w:sz w:val="28"/>
          <w:szCs w:val="28"/>
          <w:u w:val="single"/>
          <w:shd w:val="clear" w:fill="FFFFFF"/>
          <w:lang w:val="en-US" w:eastAsia="zh-CN" w:bidi="ar"/>
        </w:rPr>
        <w:t>河北省石家庄市栾城区裕翔街168号</w:t>
      </w:r>
      <w:r>
        <w:rPr>
          <w:rFonts w:hint="default" w:ascii="CESI宋体-GB2312" w:hAnsi="CESI宋体-GB2312" w:eastAsia="CESI宋体-GB2312" w:cs="CESI宋体-GB2312"/>
          <w:b w:val="0"/>
          <w:i w:val="0"/>
          <w:kern w:val="0"/>
          <w:sz w:val="28"/>
          <w:szCs w:val="28"/>
          <w:u w:val="single"/>
          <w:shd w:val="clear" w:fill="FFFFFF"/>
          <w:lang w:val="en-US" w:eastAsia="zh-CN" w:bidi="ar"/>
        </w:rPr>
        <w:t xml:space="preserve">】   </w:t>
      </w:r>
    </w:p>
    <w:p>
      <w:pPr>
        <w:pStyle w:val="42"/>
        <w:keepNext w:val="0"/>
        <w:keepLines w:val="0"/>
        <w:pageBreakBefore w:val="0"/>
        <w:widowControl/>
        <w:suppressLineNumbers w:val="0"/>
        <w:shd w:val="clear" w:fill="FFFFFF"/>
        <w:kinsoku/>
        <w:overflowPunct/>
        <w:autoSpaceDE w:val="0"/>
        <w:autoSpaceDN/>
        <w:bidi w:val="0"/>
        <w:adjustRightInd w:val="0"/>
        <w:snapToGrid w:val="0"/>
        <w:spacing w:before="0" w:beforeAutospacing="0" w:after="0" w:afterAutospacing="0" w:line="560" w:lineRule="exact"/>
        <w:ind w:left="0" w:right="0" w:firstLine="560" w:firstLineChars="200"/>
        <w:jc w:val="left"/>
        <w:textAlignment w:val="auto"/>
        <w:rPr>
          <w:rFonts w:hint="default" w:ascii="CESI宋体-GB2312" w:hAnsi="CESI宋体-GB2312" w:eastAsia="CESI宋体-GB2312" w:cs="CESI宋体-GB2312"/>
          <w:i w:val="0"/>
          <w:iCs w:val="0"/>
          <w:caps w:val="0"/>
          <w:spacing w:val="0"/>
          <w:kern w:val="0"/>
          <w:sz w:val="28"/>
          <w:szCs w:val="28"/>
          <w:shd w:val="clear" w:fill="FFFFFF"/>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邮    编：</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w:t>
      </w:r>
      <w:r>
        <w:rPr>
          <w:rFonts w:hint="eastAsia" w:ascii="宋体" w:hAnsi="宋体" w:cs="宋体"/>
          <w:b/>
          <w:color w:val="auto"/>
          <w:sz w:val="28"/>
          <w:szCs w:val="28"/>
          <w:highlight w:val="none"/>
          <w:u w:val="single"/>
          <w:lang w:val="en-US" w:eastAsia="zh-CN"/>
        </w:rPr>
        <w:t>051430</w:t>
      </w:r>
      <w:r>
        <w:rPr>
          <w:rFonts w:hint="default" w:ascii="CESI宋体-GB2312" w:hAnsi="CESI宋体-GB2312" w:eastAsia="CESI宋体-GB2312" w:cs="CESI宋体-GB2312"/>
          <w:b w:val="0"/>
          <w:i w:val="0"/>
          <w:kern w:val="0"/>
          <w:sz w:val="28"/>
          <w:szCs w:val="28"/>
          <w:u w:val="single"/>
          <w:shd w:val="clear" w:fill="FFFFFF"/>
          <w:lang w:val="en-US" w:eastAsia="zh-CN" w:bidi="ar"/>
        </w:rPr>
        <w:t xml:space="preserve">】   </w:t>
      </w:r>
      <w:r>
        <w:rPr>
          <w:rFonts w:hint="default" w:ascii="CESI宋体-GB2312" w:hAnsi="CESI宋体-GB2312" w:eastAsia="CESI宋体-GB2312" w:cs="CESI宋体-GB2312"/>
          <w:i w:val="0"/>
          <w:iCs w:val="0"/>
          <w:caps w:val="0"/>
          <w:spacing w:val="0"/>
          <w:kern w:val="0"/>
          <w:sz w:val="28"/>
          <w:szCs w:val="28"/>
          <w:shd w:val="clear" w:fill="FFFFFF"/>
          <w:lang w:val="en-US" w:eastAsia="zh-CN" w:bidi="ar"/>
        </w:rPr>
        <w:t xml:space="preserve">    </w:t>
      </w:r>
    </w:p>
    <w:p>
      <w:pPr>
        <w:keepNext w:val="0"/>
        <w:keepLines w:val="0"/>
        <w:pageBreakBefore w:val="0"/>
        <w:widowControl w:val="0"/>
        <w:suppressLineNumbers w:val="0"/>
        <w:kinsoku/>
        <w:overflowPunct/>
        <w:autoSpaceDN/>
        <w:bidi w:val="0"/>
        <w:spacing w:before="0" w:beforeAutospacing="0" w:after="0" w:afterAutospacing="0" w:line="560" w:lineRule="exact"/>
        <w:ind w:left="0" w:right="0" w:firstLine="546" w:firstLineChars="195"/>
        <w:jc w:val="both"/>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 xml:space="preserve"> </w:t>
      </w:r>
    </w:p>
    <w:p>
      <w:pPr>
        <w:keepNext w:val="0"/>
        <w:keepLines w:val="0"/>
        <w:pageBreakBefore w:val="0"/>
        <w:widowControl w:val="0"/>
        <w:suppressLineNumbers w:val="0"/>
        <w:kinsoku/>
        <w:overflowPunct/>
        <w:autoSpaceDN/>
        <w:bidi w:val="0"/>
        <w:spacing w:before="0" w:beforeAutospacing="0" w:after="0" w:afterAutospacing="0" w:line="560" w:lineRule="exact"/>
        <w:ind w:left="0" w:right="0" w:firstLine="546" w:firstLineChars="195"/>
        <w:jc w:val="both"/>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keepNext w:val="0"/>
        <w:keepLines w:val="0"/>
        <w:pageBreakBefore w:val="0"/>
        <w:widowControl w:val="0"/>
        <w:suppressLineNumbers w:val="0"/>
        <w:kinsoku/>
        <w:overflowPunct/>
        <w:autoSpaceDN/>
        <w:bidi w:val="0"/>
        <w:spacing w:before="0" w:beforeAutospacing="0" w:after="0" w:afterAutospacing="0" w:line="560" w:lineRule="exact"/>
        <w:ind w:left="0" w:right="0" w:firstLine="546" w:firstLineChars="195"/>
        <w:jc w:val="both"/>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keepNext w:val="0"/>
        <w:keepLines w:val="0"/>
        <w:pageBreakBefore w:val="0"/>
        <w:widowControl w:val="0"/>
        <w:suppressLineNumbers w:val="0"/>
        <w:kinsoku/>
        <w:overflowPunct/>
        <w:autoSpaceDN/>
        <w:bidi w:val="0"/>
        <w:spacing w:before="0" w:beforeAutospacing="0" w:after="0" w:afterAutospacing="0" w:line="560" w:lineRule="exact"/>
        <w:ind w:left="0" w:right="0" w:firstLine="546" w:firstLineChars="195"/>
        <w:jc w:val="both"/>
        <w:textAlignment w:val="auto"/>
        <w:rPr>
          <w:rFonts w:hint="default" w:ascii="CESI宋体-GB2312" w:hAnsi="CESI宋体-GB2312" w:eastAsia="CESI宋体-GB2312" w:cs="CESI宋体-GB2312"/>
          <w:i w:val="0"/>
          <w:iCs w:val="0"/>
          <w:caps w:val="0"/>
          <w:spacing w:val="0"/>
          <w:kern w:val="0"/>
          <w:sz w:val="28"/>
          <w:szCs w:val="28"/>
          <w:shd w:val="clear" w:fill="FFFFFF"/>
          <w:lang w:val="en-US" w:eastAsia="zh-CN" w:bidi="ar"/>
        </w:rPr>
      </w:pPr>
    </w:p>
    <w:p>
      <w:pPr>
        <w:keepNext w:val="0"/>
        <w:keepLines w:val="0"/>
        <w:pageBreakBefore w:val="0"/>
        <w:widowControl w:val="0"/>
        <w:suppressLineNumbers w:val="0"/>
        <w:kinsoku/>
        <w:overflowPunct/>
        <w:autoSpaceDN/>
        <w:bidi w:val="0"/>
        <w:spacing w:before="0" w:beforeAutospacing="0" w:after="0" w:afterAutospacing="0" w:line="560" w:lineRule="exact"/>
        <w:ind w:left="0" w:right="0" w:firstLine="546" w:firstLineChars="195"/>
        <w:jc w:val="right"/>
        <w:textAlignment w:val="auto"/>
        <w:rPr>
          <w:rFonts w:hint="eastAsia" w:ascii="宋体" w:hAnsi="宋体" w:eastAsia="宋体" w:cs="宋体"/>
          <w:kern w:val="2"/>
          <w:sz w:val="28"/>
          <w:szCs w:val="28"/>
          <w:u w:val="single"/>
        </w:rPr>
      </w:pPr>
      <w:r>
        <w:rPr>
          <w:rFonts w:hint="default" w:ascii="CESI宋体-GB2312" w:hAnsi="CESI宋体-GB2312" w:eastAsia="CESI宋体-GB2312" w:cs="CESI宋体-GB2312"/>
          <w:i w:val="0"/>
          <w:iCs w:val="0"/>
          <w:caps w:val="0"/>
          <w:spacing w:val="0"/>
          <w:kern w:val="0"/>
          <w:sz w:val="28"/>
          <w:szCs w:val="28"/>
          <w:shd w:val="clear" w:fill="FFFFFF"/>
          <w:lang w:val="en-US" w:eastAsia="zh-CN" w:bidi="ar"/>
        </w:rPr>
        <w:t xml:space="preserve">    </w:t>
      </w:r>
      <w:r>
        <w:rPr>
          <w:rFonts w:hint="eastAsia" w:ascii="宋体" w:hAnsi="宋体" w:eastAsia="宋体" w:cs="宋体"/>
          <w:kern w:val="2"/>
          <w:sz w:val="28"/>
          <w:szCs w:val="28"/>
          <w:lang w:val="en-US" w:eastAsia="zh-CN" w:bidi="ar"/>
        </w:rPr>
        <w:t>采购人（盖章）：</w:t>
      </w:r>
      <w:r>
        <w:rPr>
          <w:rFonts w:hint="eastAsia" w:ascii="宋体" w:hAnsi="宋体" w:eastAsia="宋体" w:cs="宋体"/>
          <w:kern w:val="2"/>
          <w:sz w:val="28"/>
          <w:szCs w:val="28"/>
          <w:u w:val="single"/>
          <w:lang w:val="en-US" w:eastAsia="zh-CN" w:bidi="ar"/>
        </w:rPr>
        <w:t>【</w:t>
      </w:r>
      <w:r>
        <w:rPr>
          <w:rFonts w:hint="eastAsia" w:ascii="宋体" w:hAnsi="宋体" w:eastAsia="宋体" w:cs="宋体"/>
          <w:b w:val="0"/>
          <w:i w:val="0"/>
          <w:kern w:val="2"/>
          <w:sz w:val="28"/>
          <w:szCs w:val="28"/>
          <w:u w:val="single"/>
          <w:lang w:val="en-US" w:eastAsia="zh-CN" w:bidi="ar"/>
        </w:rPr>
        <w:t>中车石家庄车辆有限公司】</w:t>
      </w:r>
    </w:p>
    <w:p>
      <w:pPr>
        <w:keepNext w:val="0"/>
        <w:keepLines w:val="0"/>
        <w:pageBreakBefore w:val="0"/>
        <w:widowControl w:val="0"/>
        <w:suppressLineNumbers w:val="0"/>
        <w:kinsoku/>
        <w:overflowPunct/>
        <w:autoSpaceDN/>
        <w:bidi w:val="0"/>
        <w:spacing w:before="0" w:beforeAutospacing="0" w:after="0" w:afterAutospacing="0" w:line="560" w:lineRule="exact"/>
        <w:ind w:left="0" w:right="0" w:firstLine="2226" w:firstLineChars="795"/>
        <w:jc w:val="right"/>
        <w:textAlignment w:val="auto"/>
        <w:rPr>
          <w:rFonts w:hint="default" w:ascii="CESI宋体-GB2312" w:hAnsi="CESI宋体-GB2312" w:eastAsia="CESI宋体-GB2312" w:cs="CESI宋体-GB2312"/>
          <w:kern w:val="2"/>
          <w:sz w:val="28"/>
          <w:szCs w:val="28"/>
        </w:rPr>
      </w:pPr>
      <w:r>
        <w:rPr>
          <w:rFonts w:hint="eastAsia" w:ascii="宋体" w:hAnsi="宋体" w:eastAsia="宋体" w:cs="宋体"/>
          <w:kern w:val="2"/>
          <w:sz w:val="28"/>
          <w:szCs w:val="28"/>
          <w:lang w:val="en-US" w:eastAsia="zh-CN" w:bidi="ar"/>
        </w:rPr>
        <w:t>日期：</w:t>
      </w:r>
      <w:r>
        <w:rPr>
          <w:rFonts w:hint="eastAsia" w:ascii="宋体" w:hAnsi="宋体" w:eastAsia="宋体" w:cs="宋体"/>
          <w:kern w:val="2"/>
          <w:sz w:val="28"/>
          <w:szCs w:val="28"/>
          <w:highlight w:val="cyan"/>
          <w:u w:val="single"/>
          <w:lang w:val="en-US" w:eastAsia="zh-CN" w:bidi="ar"/>
        </w:rPr>
        <w:t>【</w:t>
      </w:r>
      <w:r>
        <w:rPr>
          <w:rFonts w:hint="eastAsia" w:ascii="宋体" w:hAnsi="宋体" w:eastAsia="宋体" w:cs="宋体"/>
          <w:b w:val="0"/>
          <w:i w:val="0"/>
          <w:kern w:val="2"/>
          <w:sz w:val="28"/>
          <w:szCs w:val="28"/>
          <w:highlight w:val="cyan"/>
          <w:u w:val="single"/>
          <w:lang w:val="en-US" w:eastAsia="zh-CN" w:bidi="ar"/>
        </w:rPr>
        <w:t>2025-</w:t>
      </w:r>
      <w:r>
        <w:rPr>
          <w:rFonts w:hint="eastAsia" w:ascii="宋体" w:hAnsi="宋体" w:cs="宋体"/>
          <w:b w:val="0"/>
          <w:i w:val="0"/>
          <w:kern w:val="2"/>
          <w:sz w:val="28"/>
          <w:szCs w:val="28"/>
          <w:highlight w:val="cyan"/>
          <w:u w:val="single"/>
          <w:lang w:val="en-US" w:eastAsia="zh-CN" w:bidi="ar"/>
        </w:rPr>
        <w:t>12</w:t>
      </w:r>
      <w:r>
        <w:rPr>
          <w:rFonts w:hint="eastAsia" w:ascii="宋体" w:hAnsi="宋体" w:eastAsia="宋体" w:cs="宋体"/>
          <w:b w:val="0"/>
          <w:i w:val="0"/>
          <w:kern w:val="2"/>
          <w:sz w:val="28"/>
          <w:szCs w:val="28"/>
          <w:highlight w:val="cyan"/>
          <w:u w:val="single"/>
          <w:lang w:val="en-US" w:eastAsia="zh-CN" w:bidi="ar"/>
        </w:rPr>
        <w:t>-</w:t>
      </w:r>
      <w:r>
        <w:rPr>
          <w:rFonts w:hint="eastAsia" w:ascii="宋体" w:hAnsi="宋体" w:cs="宋体"/>
          <w:b w:val="0"/>
          <w:i w:val="0"/>
          <w:kern w:val="2"/>
          <w:sz w:val="28"/>
          <w:szCs w:val="28"/>
          <w:highlight w:val="cyan"/>
          <w:u w:val="single"/>
          <w:lang w:val="en-US" w:eastAsia="zh-CN" w:bidi="ar"/>
        </w:rPr>
        <w:t>30</w:t>
      </w:r>
      <w:r>
        <w:rPr>
          <w:rFonts w:hint="eastAsia" w:ascii="宋体" w:hAnsi="宋体" w:eastAsia="宋体" w:cs="宋体"/>
          <w:b w:val="0"/>
          <w:i w:val="0"/>
          <w:kern w:val="2"/>
          <w:sz w:val="28"/>
          <w:szCs w:val="28"/>
          <w:highlight w:val="cyan"/>
          <w:u w:val="single"/>
          <w:lang w:val="en-US" w:eastAsia="zh-CN" w:bidi="ar"/>
        </w:rPr>
        <w:t xml:space="preserve"> 08:00】</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rPr>
      </w:pPr>
      <w:r>
        <w:rPr>
          <w:rFonts w:hint="eastAsia" w:ascii="Calibri" w:hAnsi="Calibri" w:eastAsia="宋体" w:cs="Times New Roman"/>
          <w:kern w:val="2"/>
          <w:sz w:val="21"/>
          <w:szCs w:val="21"/>
          <w:lang w:val="en-US" w:eastAsia="zh-CN" w:bidi="ar"/>
        </w:rPr>
        <w:t xml:space="preserve"> </w:t>
      </w: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spacing w:line="360" w:lineRule="auto"/>
        <w:jc w:val="center"/>
        <w:rPr>
          <w:rFonts w:hint="eastAsia" w:ascii="黑体" w:hAnsi="宋体" w:eastAsia="黑体"/>
          <w:b/>
          <w:color w:val="auto"/>
          <w:sz w:val="36"/>
          <w:szCs w:val="22"/>
          <w:highlight w:val="none"/>
        </w:rPr>
      </w:pPr>
    </w:p>
    <w:p>
      <w:pPr>
        <w:pStyle w:val="43"/>
        <w:jc w:val="both"/>
        <w:rPr>
          <w:rFonts w:hint="eastAsia"/>
        </w:rPr>
      </w:pPr>
    </w:p>
    <w:p>
      <w:pPr>
        <w:spacing w:line="360" w:lineRule="auto"/>
        <w:jc w:val="cente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pPr>
      <w:r>
        <w:rPr>
          <w:rFonts w:hint="eastAsia" w:ascii="黑体" w:hAnsi="宋体" w:eastAsia="黑体"/>
          <w:b/>
          <w:color w:val="auto"/>
          <w:sz w:val="36"/>
          <w:szCs w:val="22"/>
          <w:highlight w:val="none"/>
          <w:lang w:val="en-US" w:eastAsia="zh-CN"/>
        </w:rPr>
        <w:t>附件1：</w:t>
      </w:r>
      <w:r>
        <w:rPr>
          <w:rFonts w:hint="default" w:ascii="CESI宋体-GB2312" w:hAnsi="CESI宋体-GB2312" w:eastAsia="CESI宋体-GB2312" w:cs="CESI宋体-GB2312"/>
          <w:i w:val="0"/>
          <w:iCs w:val="0"/>
          <w:caps w:val="0"/>
          <w:spacing w:val="0"/>
          <w:kern w:val="0"/>
          <w:sz w:val="28"/>
          <w:szCs w:val="28"/>
          <w:u w:val="single"/>
          <w:shd w:val="clear" w:fill="FFFFFF"/>
          <w:lang w:val="en-US" w:eastAsia="zh-CN" w:bidi="ar"/>
        </w:rPr>
        <w:t>项目技术要求</w:t>
      </w:r>
    </w:p>
    <w:p>
      <w:pPr>
        <w:pStyle w:val="20"/>
        <w:jc w:val="center"/>
        <w:rPr>
          <w:rFonts w:hint="default" w:ascii="宋体" w:hAnsi="宋体" w:eastAsia="宋体" w:cs="宋体"/>
          <w:bCs w:val="0"/>
          <w:kern w:val="2"/>
          <w:sz w:val="28"/>
          <w:szCs w:val="28"/>
          <w:lang w:val="en-US" w:eastAsia="zh-CN" w:bidi="ar"/>
        </w:rPr>
      </w:pPr>
      <w:r>
        <w:rPr>
          <w:rFonts w:hint="eastAsia" w:ascii="CESI宋体-GB2312" w:hAnsi="CESI宋体-GB2312" w:eastAsia="CESI宋体-GB2312" w:cs="CESI宋体-GB2312"/>
          <w:i w:val="0"/>
          <w:iCs w:val="0"/>
          <w:caps w:val="0"/>
          <w:spacing w:val="0"/>
          <w:kern w:val="0"/>
          <w:sz w:val="28"/>
          <w:szCs w:val="28"/>
          <w:u w:val="single"/>
          <w:shd w:val="clear" w:fill="FFFFFF"/>
          <w:lang w:val="en-US" w:eastAsia="zh-CN" w:bidi="ar"/>
        </w:rPr>
        <w:t>（其余技术要求详见采购文件）</w:t>
      </w:r>
    </w:p>
    <w:p>
      <w:pPr>
        <w:rPr>
          <w:rFonts w:hint="eastAsia" w:ascii="宋体" w:hAnsi="宋体" w:eastAsia="宋体" w:cs="宋体"/>
          <w:bCs w:val="0"/>
          <w:kern w:val="2"/>
          <w:sz w:val="28"/>
          <w:szCs w:val="28"/>
          <w:lang w:val="en-US" w:eastAsia="zh-CN" w:bidi="ar"/>
        </w:rPr>
      </w:pPr>
      <w:r>
        <w:rPr>
          <w:rFonts w:hint="eastAsia" w:ascii="宋体" w:hAnsi="宋体" w:eastAsia="宋体" w:cs="宋体"/>
          <w:bCs w:val="0"/>
          <w:kern w:val="2"/>
          <w:sz w:val="28"/>
          <w:szCs w:val="28"/>
          <w:lang w:val="en-US" w:eastAsia="zh-CN" w:bidi="ar"/>
        </w:rPr>
        <w:br w:type="page"/>
      </w:r>
    </w:p>
    <w:p>
      <w:pPr>
        <w:spacing w:line="360" w:lineRule="auto"/>
        <w:jc w:val="center"/>
        <w:rPr>
          <w:rFonts w:hint="eastAsia" w:ascii="黑体" w:hAnsi="宋体" w:eastAsia="黑体"/>
          <w:b/>
          <w:color w:val="auto"/>
          <w:sz w:val="36"/>
          <w:highlight w:val="none"/>
        </w:rPr>
      </w:pPr>
      <w:r>
        <w:rPr>
          <w:rFonts w:hint="eastAsia" w:ascii="黑体" w:hAnsi="宋体" w:eastAsia="黑体"/>
          <w:b/>
          <w:color w:val="auto"/>
          <w:sz w:val="36"/>
          <w:szCs w:val="22"/>
          <w:highlight w:val="none"/>
        </w:rPr>
        <w:t>第</w:t>
      </w:r>
      <w:r>
        <w:rPr>
          <w:rFonts w:hint="eastAsia" w:ascii="黑体" w:hAnsi="宋体" w:eastAsia="黑体"/>
          <w:b/>
          <w:color w:val="auto"/>
          <w:sz w:val="36"/>
          <w:szCs w:val="22"/>
          <w:highlight w:val="none"/>
          <w:lang w:val="en-US" w:eastAsia="zh-CN"/>
        </w:rPr>
        <w:t>二</w:t>
      </w:r>
      <w:r>
        <w:rPr>
          <w:rFonts w:hint="eastAsia" w:ascii="黑体" w:hAnsi="宋体" w:eastAsia="黑体"/>
          <w:b/>
          <w:color w:val="auto"/>
          <w:sz w:val="36"/>
          <w:szCs w:val="22"/>
          <w:highlight w:val="none"/>
        </w:rPr>
        <w:t>章</w:t>
      </w:r>
      <w:r>
        <w:rPr>
          <w:rFonts w:ascii="黑体" w:hAnsi="宋体" w:eastAsia="黑体"/>
          <w:b/>
          <w:color w:val="auto"/>
          <w:sz w:val="36"/>
          <w:szCs w:val="22"/>
          <w:highlight w:val="none"/>
        </w:rPr>
        <w:t xml:space="preserve">   </w:t>
      </w:r>
      <w:r>
        <w:rPr>
          <w:rFonts w:ascii="黑体" w:hAnsi="宋体" w:eastAsia="黑体"/>
          <w:b/>
          <w:color w:val="auto"/>
          <w:sz w:val="36"/>
          <w:highlight w:val="none"/>
        </w:rPr>
        <w:t xml:space="preserve"> </w:t>
      </w:r>
      <w:r>
        <w:rPr>
          <w:rFonts w:hint="eastAsia" w:ascii="黑体" w:hAnsi="宋体" w:eastAsia="黑体"/>
          <w:b/>
          <w:color w:val="auto"/>
          <w:sz w:val="36"/>
          <w:highlight w:val="none"/>
        </w:rPr>
        <w:t>投标人须知</w:t>
      </w:r>
    </w:p>
    <w:p>
      <w:pPr>
        <w:pStyle w:val="3"/>
        <w:numPr>
          <w:ilvl w:val="1"/>
          <w:numId w:val="0"/>
        </w:numPr>
        <w:spacing w:line="240" w:lineRule="auto"/>
        <w:ind w:leftChars="0"/>
        <w:jc w:val="center"/>
        <w:rPr>
          <w:rFonts w:ascii="Times New Roman" w:hAnsi="Times New Roman"/>
          <w:highlight w:val="none"/>
        </w:rPr>
      </w:pPr>
      <w:bookmarkStart w:id="0" w:name="_Toc14290"/>
      <w:bookmarkStart w:id="1" w:name="_Toc27517"/>
      <w:r>
        <w:rPr>
          <w:rFonts w:hint="eastAsia" w:ascii="Times New Roman" w:hAnsi="Times New Roman"/>
          <w:highlight w:val="none"/>
        </w:rPr>
        <w:t>投标人须知前附表</w:t>
      </w:r>
      <w:bookmarkEnd w:id="0"/>
      <w:bookmarkEnd w:id="1"/>
    </w:p>
    <w:tbl>
      <w:tblPr>
        <w:tblStyle w:val="60"/>
        <w:tblW w:w="9329" w:type="dxa"/>
        <w:jc w:val="center"/>
        <w:tblInd w:w="0" w:type="dxa"/>
        <w:tblLayout w:type="fixed"/>
        <w:tblCellMar>
          <w:top w:w="0" w:type="dxa"/>
          <w:left w:w="108" w:type="dxa"/>
          <w:bottom w:w="0" w:type="dxa"/>
          <w:right w:w="108" w:type="dxa"/>
        </w:tblCellMar>
      </w:tblPr>
      <w:tblGrid>
        <w:gridCol w:w="1165"/>
        <w:gridCol w:w="2720"/>
        <w:gridCol w:w="5444"/>
      </w:tblGrid>
      <w:tr>
        <w:tblPrEx>
          <w:tblLayout w:type="fixed"/>
          <w:tblCellMar>
            <w:top w:w="0" w:type="dxa"/>
            <w:left w:w="108" w:type="dxa"/>
            <w:bottom w:w="0" w:type="dxa"/>
            <w:right w:w="108" w:type="dxa"/>
          </w:tblCellMar>
        </w:tblPrEx>
        <w:trPr>
          <w:trHeight w:val="340" w:hRule="atLeast"/>
          <w:tblHeader/>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序号</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项目</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内容</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1</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采购</w:t>
            </w:r>
            <w:r>
              <w:rPr>
                <w:rFonts w:hint="eastAsia" w:ascii="宋体" w:hAnsi="宋体" w:eastAsia="宋体" w:cs="宋体"/>
                <w:sz w:val="21"/>
                <w:szCs w:val="21"/>
                <w:highlight w:val="none"/>
              </w:rPr>
              <w:t>人</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lef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采购单位：中车石家庄车辆有限公司</w:t>
            </w:r>
          </w:p>
          <w:p>
            <w:pPr>
              <w:keepNext w:val="0"/>
              <w:keepLines w:val="0"/>
              <w:pageBreakBefore w:val="0"/>
              <w:widowControl w:val="0"/>
              <w:suppressLineNumbers w:val="0"/>
              <w:wordWrap/>
              <w:autoSpaceDE/>
              <w:autoSpaceDN/>
              <w:bidi w:val="0"/>
              <w:spacing w:before="0" w:beforeAutospacing="0" w:after="0" w:afterAutospacing="0" w:line="280" w:lineRule="exact"/>
              <w:ind w:left="0" w:right="0"/>
              <w:jc w:val="lef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详细地址：河北省石家庄市栾城区裕翔街168号</w:t>
            </w:r>
          </w:p>
          <w:p>
            <w:pPr>
              <w:keepNext w:val="0"/>
              <w:keepLines w:val="0"/>
              <w:pageBreakBefore w:val="0"/>
              <w:widowControl w:val="0"/>
              <w:suppressLineNumbers w:val="0"/>
              <w:wordWrap/>
              <w:autoSpaceDE/>
              <w:autoSpaceDN/>
              <w:bidi w:val="0"/>
              <w:spacing w:before="0" w:beforeAutospacing="0" w:after="0" w:afterAutospacing="0" w:line="280" w:lineRule="exact"/>
              <w:ind w:left="0" w:right="0"/>
              <w:jc w:val="lef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邮政编码：051430</w:t>
            </w:r>
          </w:p>
          <w:p>
            <w:pPr>
              <w:keepNext w:val="0"/>
              <w:keepLines w:val="0"/>
              <w:pageBreakBefore w:val="0"/>
              <w:widowControl w:val="0"/>
              <w:suppressLineNumbers w:val="0"/>
              <w:wordWrap/>
              <w:autoSpaceDE/>
              <w:autoSpaceDN/>
              <w:bidi w:val="0"/>
              <w:spacing w:before="0" w:beforeAutospacing="0" w:after="0" w:afterAutospacing="0" w:line="280" w:lineRule="exact"/>
              <w:ind w:left="0" w:right="0"/>
              <w:jc w:val="left"/>
              <w:textAlignment w:val="auto"/>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联 系 人：</w:t>
            </w:r>
            <w:r>
              <w:rPr>
                <w:rFonts w:hint="eastAsia" w:ascii="宋体" w:hAnsi="宋体" w:cs="宋体"/>
                <w:kern w:val="0"/>
                <w:sz w:val="21"/>
                <w:szCs w:val="21"/>
                <w:highlight w:val="none"/>
                <w:lang w:val="en-US" w:eastAsia="zh-CN"/>
              </w:rPr>
              <w:t>郝志远</w:t>
            </w:r>
          </w:p>
          <w:p>
            <w:pPr>
              <w:keepNext w:val="0"/>
              <w:keepLines w:val="0"/>
              <w:pageBreakBefore w:val="0"/>
              <w:widowControl w:val="0"/>
              <w:suppressLineNumbers w:val="0"/>
              <w:wordWrap/>
              <w:autoSpaceDE/>
              <w:autoSpaceDN/>
              <w:bidi w:val="0"/>
              <w:spacing w:before="0" w:beforeAutospacing="0" w:after="0" w:afterAutospacing="0" w:line="280" w:lineRule="exact"/>
              <w:ind w:left="0" w:right="0"/>
              <w:jc w:val="left"/>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联系电话：</w:t>
            </w:r>
            <w:r>
              <w:rPr>
                <w:rFonts w:hint="eastAsia" w:ascii="宋体" w:hAnsi="宋体" w:eastAsia="宋体" w:cs="Times New Roman"/>
                <w:szCs w:val="21"/>
                <w:highlight w:val="none"/>
              </w:rPr>
              <w:t>0311-87637863</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2</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圣保罗1、2、3号线项目控制器及控制器IO模块</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3</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资金来源及比例</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overflowPunct w:val="0"/>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企业自筹100%</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4</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资金落实情况</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overflowPunct w:val="0"/>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已落实</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5</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招标范围</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同招标公告</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6</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服务期限</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同招标公告</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7</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*投标人资质条件、能力、信誉</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（1）资质要求：同招标公告</w:t>
            </w:r>
          </w:p>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）信誉要求：同招标公告</w:t>
            </w:r>
          </w:p>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）其他要求：同招标公告</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8</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是否接受联合体投标</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topLinePunct/>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F052"/>
            </w:r>
            <w:r>
              <w:rPr>
                <w:rFonts w:hint="eastAsia" w:ascii="宋体" w:hAnsi="宋体" w:eastAsia="宋体" w:cs="宋体"/>
                <w:sz w:val="21"/>
                <w:szCs w:val="21"/>
                <w:highlight w:val="none"/>
              </w:rPr>
              <w:t>不接受</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9</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投标人不得存在的其他情形</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topLinePunct/>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无</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分包</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F052"/>
            </w:r>
            <w:r>
              <w:rPr>
                <w:rFonts w:hint="eastAsia" w:ascii="宋体" w:hAnsi="宋体" w:eastAsia="宋体" w:cs="宋体"/>
                <w:sz w:val="21"/>
                <w:szCs w:val="21"/>
                <w:highlight w:val="none"/>
              </w:rPr>
              <w:t>不允许</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11</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实质性要求和条件</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招标文件评标办法“形式评审标准”、以及“响应性评审标准”的各项要求均属于实质性要求和条件，投标文件有一项不符合上述评审标准的，评标委员会应当否决其投标。</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12</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其他可以被接受的技术支持资料</w:t>
            </w:r>
          </w:p>
        </w:tc>
        <w:tc>
          <w:tcPr>
            <w:tcW w:w="5444"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widowControl w:val="0"/>
              <w:suppressLineNumbers w:val="0"/>
              <w:wordWrap/>
              <w:overflowPunct w:val="0"/>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无</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13</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偏差</w:t>
            </w:r>
          </w:p>
        </w:tc>
        <w:tc>
          <w:tcPr>
            <w:tcW w:w="5444"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widowControl w:val="0"/>
              <w:suppressLineNumbers w:val="0"/>
              <w:wordWrap/>
              <w:topLinePunct/>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允许</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14</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投标报价的其他要求</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overflowPunct w:val="0"/>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合同有效期内</w:t>
            </w:r>
            <w:r>
              <w:rPr>
                <w:rFonts w:hint="eastAsia" w:ascii="宋体" w:hAnsi="宋体" w:eastAsia="宋体" w:cs="宋体"/>
                <w:sz w:val="21"/>
                <w:szCs w:val="21"/>
                <w:highlight w:val="none"/>
                <w:lang w:val="en-US" w:eastAsia="zh-CN"/>
              </w:rPr>
              <w:t>单价</w:t>
            </w:r>
            <w:r>
              <w:rPr>
                <w:rFonts w:hint="eastAsia" w:ascii="宋体" w:hAnsi="宋体" w:eastAsia="宋体" w:cs="宋体"/>
                <w:sz w:val="21"/>
                <w:szCs w:val="21"/>
                <w:highlight w:val="none"/>
              </w:rPr>
              <w:t>价格固定不变。</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15</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*投标有效期</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overflowPunct w:val="0"/>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bookmarkStart w:id="2" w:name="_Toc384308207"/>
            <w:bookmarkStart w:id="3" w:name="_Toc369531512"/>
            <w:bookmarkStart w:id="4" w:name="_Toc352691470"/>
            <w:bookmarkStart w:id="5" w:name="_Toc1789"/>
            <w:bookmarkStart w:id="6" w:name="_Toc361508582"/>
            <w:bookmarkStart w:id="7" w:name="_Toc300834946"/>
            <w:r>
              <w:rPr>
                <w:rFonts w:hint="eastAsia" w:ascii="宋体" w:hAnsi="宋体" w:eastAsia="宋体" w:cs="宋体"/>
                <w:sz w:val="21"/>
                <w:szCs w:val="21"/>
                <w:highlight w:val="none"/>
              </w:rPr>
              <w:t>从投标截止之日起：90天</w:t>
            </w:r>
          </w:p>
        </w:tc>
      </w:tr>
      <w:bookmarkEnd w:id="2"/>
      <w:bookmarkEnd w:id="3"/>
      <w:bookmarkEnd w:id="4"/>
      <w:bookmarkEnd w:id="5"/>
      <w:bookmarkEnd w:id="6"/>
      <w:bookmarkEnd w:id="7"/>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16</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*投标保证金</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overflowPunct w:val="0"/>
              <w:autoSpaceDE/>
              <w:autoSpaceDN/>
              <w:bidi w:val="0"/>
              <w:spacing w:before="0" w:beforeAutospacing="0" w:after="0" w:afterAutospacing="0" w:line="280" w:lineRule="exact"/>
              <w:ind w:left="0" w:right="0"/>
              <w:jc w:val="left"/>
              <w:textAlignment w:val="auto"/>
              <w:rPr>
                <w:rFonts w:hint="eastAsia" w:ascii="宋体" w:hAnsi="宋体" w:eastAsia="宋体" w:cs="宋体"/>
                <w:sz w:val="21"/>
                <w:szCs w:val="21"/>
                <w:highlight w:val="yellow"/>
                <w:lang w:val="en-US" w:eastAsia="zh-CN"/>
              </w:rPr>
            </w:pPr>
            <w:r>
              <w:rPr>
                <w:rFonts w:hint="eastAsia" w:ascii="宋体" w:hAnsi="宋体" w:cs="宋体"/>
                <w:sz w:val="21"/>
                <w:szCs w:val="21"/>
                <w:highlight w:val="yellow"/>
                <w:lang w:val="en-US" w:eastAsia="zh-CN"/>
              </w:rPr>
              <w:t>50000元（大写：伍万元整）</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17</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其他可以不予退还投标保证金的情形</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如对招标人造成损失的，投标人承担赔偿责任。</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18</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投标截止时间</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default" w:ascii="宋体" w:hAnsi="宋体" w:eastAsia="宋体" w:cs="宋体"/>
                <w:sz w:val="21"/>
                <w:szCs w:val="21"/>
                <w:highlight w:val="none"/>
                <w:lang w:val="en-US"/>
              </w:rPr>
            </w:pPr>
            <w:r>
              <w:rPr>
                <w:rFonts w:hint="eastAsia" w:ascii="宋体" w:hAnsi="宋体" w:cs="宋体"/>
                <w:sz w:val="21"/>
                <w:szCs w:val="21"/>
                <w:highlight w:val="cyan"/>
                <w:lang w:val="en-US" w:eastAsia="zh-CN"/>
              </w:rPr>
              <w:t>2026年01月13日08时00分</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19</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递交投标文件地点</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中车购电子采购平台</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nil"/>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20</w:t>
            </w:r>
          </w:p>
        </w:tc>
        <w:tc>
          <w:tcPr>
            <w:tcW w:w="2720" w:type="dxa"/>
            <w:tcBorders>
              <w:top w:val="single" w:color="auto" w:sz="4" w:space="0"/>
              <w:left w:val="single" w:color="auto" w:sz="4" w:space="0"/>
              <w:bottom w:val="nil"/>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开标时间和地点</w:t>
            </w:r>
          </w:p>
        </w:tc>
        <w:tc>
          <w:tcPr>
            <w:tcW w:w="5444" w:type="dxa"/>
            <w:tcBorders>
              <w:top w:val="single" w:color="auto" w:sz="4" w:space="0"/>
              <w:left w:val="single" w:color="auto" w:sz="4" w:space="0"/>
              <w:bottom w:val="nil"/>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开标时间：同投标截止时间</w:t>
            </w:r>
          </w:p>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开标地点：</w:t>
            </w:r>
            <w:r>
              <w:rPr>
                <w:rFonts w:hint="eastAsia" w:ascii="宋体" w:hAnsi="宋体" w:eastAsia="宋体" w:cs="宋体"/>
                <w:sz w:val="21"/>
                <w:szCs w:val="21"/>
                <w:highlight w:val="none"/>
                <w:lang w:val="en-US" w:eastAsia="zh-CN"/>
              </w:rPr>
              <w:t>中车购电子采购平台（电子标）</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21</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评标委员会的组建</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pacing w:val="-2"/>
                <w:sz w:val="21"/>
                <w:szCs w:val="21"/>
                <w:highlight w:val="none"/>
                <w:lang w:eastAsia="zh-CN"/>
              </w:rPr>
            </w:pPr>
            <w:r>
              <w:rPr>
                <w:rFonts w:hint="eastAsia" w:ascii="宋体" w:hAnsi="宋体" w:eastAsia="宋体" w:cs="宋体"/>
                <w:spacing w:val="-2"/>
                <w:sz w:val="21"/>
                <w:szCs w:val="21"/>
                <w:highlight w:val="none"/>
              </w:rPr>
              <w:t>评标委员会</w:t>
            </w:r>
            <w:r>
              <w:rPr>
                <w:rFonts w:hint="eastAsia" w:ascii="宋体" w:hAnsi="宋体" w:cs="宋体"/>
                <w:spacing w:val="-2"/>
                <w:sz w:val="21"/>
                <w:szCs w:val="21"/>
                <w:highlight w:val="none"/>
                <w:lang w:val="en-US" w:eastAsia="zh-CN"/>
              </w:rPr>
              <w:t>/评标小组</w:t>
            </w:r>
            <w:r>
              <w:rPr>
                <w:rFonts w:hint="eastAsia" w:ascii="宋体" w:hAnsi="宋体" w:eastAsia="宋体" w:cs="宋体"/>
                <w:spacing w:val="-2"/>
                <w:sz w:val="21"/>
                <w:szCs w:val="21"/>
                <w:highlight w:val="none"/>
              </w:rPr>
              <w:t>构成：</w:t>
            </w:r>
            <w:r>
              <w:rPr>
                <w:rFonts w:hint="eastAsia" w:ascii="宋体" w:hAnsi="宋体" w:eastAsia="宋体" w:cs="宋体"/>
                <w:spacing w:val="-2"/>
                <w:sz w:val="21"/>
                <w:szCs w:val="21"/>
                <w:highlight w:val="none"/>
                <w:u w:val="single"/>
              </w:rPr>
              <w:t>5人</w:t>
            </w:r>
            <w:r>
              <w:rPr>
                <w:rFonts w:hint="eastAsia" w:ascii="宋体" w:hAnsi="宋体" w:eastAsia="宋体" w:cs="宋体"/>
                <w:spacing w:val="-2"/>
                <w:sz w:val="21"/>
                <w:szCs w:val="21"/>
                <w:highlight w:val="none"/>
                <w:lang w:eastAsia="zh-CN"/>
              </w:rPr>
              <w:t>。</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22</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评标委员会推荐中标候选人的人数</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最多不超过</w:t>
            </w:r>
            <w:r>
              <w:rPr>
                <w:rFonts w:hint="eastAsia" w:ascii="宋体" w:hAnsi="宋体" w:cs="宋体"/>
                <w:sz w:val="21"/>
                <w:szCs w:val="21"/>
                <w:highlight w:val="yellow"/>
                <w:lang w:val="en-US" w:eastAsia="zh-CN"/>
              </w:rPr>
              <w:t>3</w:t>
            </w:r>
            <w:r>
              <w:rPr>
                <w:rFonts w:hint="eastAsia" w:ascii="宋体" w:hAnsi="宋体" w:eastAsia="宋体" w:cs="宋体"/>
                <w:sz w:val="21"/>
                <w:szCs w:val="21"/>
                <w:highlight w:val="yellow"/>
                <w:lang w:val="en-US" w:eastAsia="zh-CN"/>
              </w:rPr>
              <w:t>家。</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23</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中标候选人公示媒介及期限</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overflowPunct w:val="0"/>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中车购2.0平台，公示1天。</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24</w:t>
            </w:r>
          </w:p>
        </w:tc>
        <w:tc>
          <w:tcPr>
            <w:tcW w:w="8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需要补充的其他内容</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25</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特殊情况说明</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本项目以实际发生数量据实结算。</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26</w:t>
            </w:r>
          </w:p>
        </w:tc>
        <w:tc>
          <w:tcPr>
            <w:tcW w:w="27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overflowPunct w:val="0"/>
              <w:autoSpaceDE/>
              <w:autoSpaceDN/>
              <w:bidi w:val="0"/>
              <w:spacing w:before="0" w:beforeAutospacing="0" w:after="0" w:afterAutospacing="0" w:line="280" w:lineRule="exact"/>
              <w:ind w:left="0" w:right="0" w:rightChars="0"/>
              <w:jc w:val="center"/>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*否决投标的情形</w:t>
            </w:r>
          </w:p>
        </w:tc>
        <w:tc>
          <w:tcPr>
            <w:tcW w:w="54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有下列情形之一的，评标委员会</w:t>
            </w:r>
            <w:r>
              <w:rPr>
                <w:rFonts w:hint="eastAsia" w:ascii="宋体" w:hAnsi="宋体" w:cs="宋体"/>
                <w:sz w:val="21"/>
                <w:szCs w:val="21"/>
                <w:highlight w:val="none"/>
                <w:lang w:eastAsia="zh-CN"/>
              </w:rPr>
              <w:t>（评标小组）</w:t>
            </w:r>
            <w:r>
              <w:rPr>
                <w:rFonts w:hint="eastAsia" w:ascii="宋体" w:hAnsi="宋体" w:eastAsia="宋体" w:cs="宋体"/>
                <w:sz w:val="21"/>
                <w:szCs w:val="21"/>
                <w:highlight w:val="none"/>
              </w:rPr>
              <w:t>否决其投标：</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（一）投标文件未经投标单位盖章和法定代表人（或其委托代理人）签字或盖章；</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（二）投标人不符合国家或者招标文件规定的资格条件；</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（三）同一投标人提交两个以上不同的投标文件或者投标报价，但招标文件要求提交备选投标的除外；</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（四）投标报价低于成本或者高于</w:t>
            </w:r>
            <w:r>
              <w:rPr>
                <w:rFonts w:hint="eastAsia" w:ascii="宋体" w:hAnsi="宋体" w:eastAsia="宋体" w:cs="宋体"/>
                <w:sz w:val="21"/>
                <w:szCs w:val="21"/>
                <w:highlight w:val="none"/>
                <w:lang w:val="en-US" w:eastAsia="zh-CN"/>
              </w:rPr>
              <w:t>采购</w:t>
            </w:r>
            <w:r>
              <w:rPr>
                <w:rFonts w:hint="eastAsia" w:ascii="宋体" w:hAnsi="宋体" w:eastAsia="宋体" w:cs="宋体"/>
                <w:sz w:val="21"/>
                <w:szCs w:val="21"/>
                <w:highlight w:val="none"/>
              </w:rPr>
              <w:t>文件设定的最高投标限价；</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（五）投标文件没有对招标文件的实质性要求和条件作出响应；</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（六）投标人有串通投标、弄虚作假、行贿等违法行为；</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（七）没有按照招标文件要求提供投标保证金或者所提供的投标保证金有瑕疵；</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（八）投标文件载明的招标项目完成期限超过招标文件规定的期限；</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（九）明显不符合技术规格、技术标准的要求；</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（十）投标文件有效期不符合招标文件的要求；</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（十一）投标人的负责人为同一人或者存在控股、管理关系的不同单位，不得参加同一标段投标或者未划分标段的同一招标项目投标；</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（十二）投标文件的内容不全或者关键内容字迹模糊、无法辨认的；</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（十三）投标文件附有招标人不能接受的条件；</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（十四）不符合招标文件中规定的其他实质性要求；</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（十五）投标文件不满足招标文件中加“*”的内容或条款要求的；</w:t>
            </w:r>
          </w:p>
          <w:p>
            <w:pPr>
              <w:pStyle w:val="70"/>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（十六）未按评标委员会要求进行投标文件澄清、说明或补正；</w:t>
            </w:r>
          </w:p>
          <w:p>
            <w:pPr>
              <w:keepNext w:val="0"/>
              <w:keepLines w:val="0"/>
              <w:pageBreakBefore w:val="0"/>
              <w:widowControl w:val="0"/>
              <w:suppressLineNumbers w:val="0"/>
              <w:wordWrap/>
              <w:autoSpaceDE/>
              <w:autoSpaceDN/>
              <w:bidi w:val="0"/>
              <w:adjustRightInd w:val="0"/>
              <w:snapToGrid w:val="0"/>
              <w:spacing w:before="0" w:beforeAutospacing="0" w:after="0" w:afterAutospacing="0" w:line="280" w:lineRule="exact"/>
              <w:ind w:left="0" w:right="0" w:rightChars="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（十七）投标文件载明的货物包装方式、检验标准和方法等不符合招标文件的要求。</w:t>
            </w:r>
          </w:p>
        </w:tc>
      </w:tr>
      <w:tr>
        <w:tblPrEx>
          <w:tblLayout w:type="fixed"/>
          <w:tblCellMar>
            <w:top w:w="0" w:type="dxa"/>
            <w:left w:w="108" w:type="dxa"/>
            <w:bottom w:w="0" w:type="dxa"/>
            <w:right w:w="108" w:type="dxa"/>
          </w:tblCellMar>
        </w:tblPrEx>
        <w:trPr>
          <w:trHeight w:val="340" w:hRule="atLeast"/>
          <w:jc w:val="center"/>
        </w:trPr>
        <w:tc>
          <w:tcPr>
            <w:tcW w:w="11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overflowPunct w:val="0"/>
              <w:autoSpaceDE/>
              <w:autoSpaceDN/>
              <w:bidi w:val="0"/>
              <w:spacing w:before="0" w:beforeAutospacing="0" w:after="0" w:afterAutospacing="0" w:line="280" w:lineRule="exact"/>
              <w:ind w:left="0" w:right="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27</w:t>
            </w:r>
          </w:p>
        </w:tc>
        <w:tc>
          <w:tcPr>
            <w:tcW w:w="8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wordWrap/>
              <w:autoSpaceDE/>
              <w:autoSpaceDN/>
              <w:bidi w:val="0"/>
              <w:spacing w:before="0" w:beforeAutospacing="0" w:after="0" w:afterAutospacing="0" w:line="280" w:lineRule="exact"/>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“投标人须知前附表”或招标文件其他部分内容与“投标人须知”正文中有关提供证明资料、文件等要求不一致的，以“投标人须知前附表”或招标文件其他部分内容为准。</w:t>
            </w:r>
          </w:p>
          <w:p>
            <w:pPr>
              <w:pStyle w:val="30"/>
              <w:keepNext w:val="0"/>
              <w:keepLines w:val="0"/>
              <w:pageBreakBefore w:val="0"/>
              <w:widowControl w:val="0"/>
              <w:suppressLineNumbers w:val="0"/>
              <w:wordWrap/>
              <w:autoSpaceDE/>
              <w:autoSpaceDN/>
              <w:bidi w:val="0"/>
              <w:spacing w:before="0" w:beforeAutospacing="0" w:after="0" w:afterAutospacing="0" w:line="280" w:lineRule="exact"/>
              <w:ind w:left="0" w:leftChars="0" w:right="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投标人应按投标文件格式的要求在投标函中进行报价，并填写分项报价清单（如有）。</w:t>
            </w:r>
          </w:p>
        </w:tc>
      </w:tr>
    </w:tbl>
    <w:p>
      <w:pPr>
        <w:pStyle w:val="29"/>
      </w:pPr>
    </w:p>
    <w:p>
      <w:pPr>
        <w:spacing w:line="400" w:lineRule="exact"/>
        <w:rPr>
          <w:rFonts w:ascii="Times New Roman" w:hAnsi="Times New Roman"/>
          <w:sz w:val="28"/>
          <w:szCs w:val="28"/>
          <w:highlight w:val="none"/>
        </w:rPr>
      </w:pPr>
      <w:bookmarkStart w:id="8" w:name="_Toc8569"/>
      <w:r>
        <w:rPr>
          <w:rFonts w:hint="eastAsia" w:ascii="黑体" w:hAnsi="黑体" w:eastAsia="黑体" w:cs="黑体"/>
          <w:sz w:val="28"/>
          <w:szCs w:val="28"/>
          <w:highlight w:val="none"/>
        </w:rPr>
        <w:t>1. 总则</w:t>
      </w:r>
      <w:bookmarkEnd w:id="8"/>
    </w:p>
    <w:p>
      <w:pPr>
        <w:pStyle w:val="4"/>
        <w:pageBreakBefore w:val="0"/>
        <w:widowControl w:val="0"/>
        <w:kinsoku/>
        <w:wordWrap/>
        <w:overflowPunct/>
        <w:topLinePunct w:val="0"/>
        <w:autoSpaceDE/>
        <w:autoSpaceDN/>
        <w:bidi w:val="0"/>
        <w:snapToGrid/>
        <w:spacing w:before="0" w:after="0" w:line="360" w:lineRule="auto"/>
        <w:ind w:firstLine="0" w:firstLineChars="0"/>
        <w:textAlignment w:val="auto"/>
        <w:rPr>
          <w:rFonts w:ascii="Times New Roman" w:hAnsi="Times New Roman"/>
          <w:sz w:val="28"/>
          <w:szCs w:val="28"/>
          <w:highlight w:val="none"/>
        </w:rPr>
      </w:pPr>
      <w:bookmarkStart w:id="9" w:name="_Toc103875874"/>
      <w:bookmarkStart w:id="10" w:name="_Toc20452"/>
      <w:bookmarkStart w:id="11" w:name="_Toc103274054"/>
      <w:bookmarkStart w:id="12" w:name="_Toc9388"/>
      <w:bookmarkStart w:id="13" w:name="_Toc101976962"/>
      <w:r>
        <w:rPr>
          <w:rFonts w:ascii="Times New Roman" w:hAnsi="Times New Roman"/>
          <w:sz w:val="28"/>
          <w:szCs w:val="28"/>
          <w:highlight w:val="none"/>
        </w:rPr>
        <w:t xml:space="preserve">1.1 </w:t>
      </w:r>
      <w:r>
        <w:rPr>
          <w:rFonts w:hint="eastAsia" w:ascii="Times New Roman" w:hAnsi="Times New Roman"/>
          <w:sz w:val="28"/>
          <w:szCs w:val="28"/>
          <w:highlight w:val="none"/>
          <w:lang w:val="en-US" w:eastAsia="zh-CN"/>
        </w:rPr>
        <w:t>采购</w:t>
      </w:r>
      <w:r>
        <w:rPr>
          <w:rFonts w:hint="eastAsia" w:ascii="Times New Roman" w:hAnsi="Times New Roman"/>
          <w:sz w:val="28"/>
          <w:szCs w:val="28"/>
          <w:highlight w:val="none"/>
        </w:rPr>
        <w:t>项目概况</w:t>
      </w:r>
      <w:bookmarkEnd w:id="9"/>
      <w:bookmarkEnd w:id="10"/>
      <w:bookmarkEnd w:id="11"/>
      <w:bookmarkEnd w:id="12"/>
      <w:bookmarkEnd w:id="13"/>
    </w:p>
    <w:p>
      <w:pPr>
        <w:keepNext w:val="0"/>
        <w:keepLines w:val="0"/>
        <w:pageBreakBefore w:val="0"/>
        <w:widowControl w:val="0"/>
        <w:shd w:val="clear" w:color="auto" w:fill="FFFFFF"/>
        <w:kinsoku/>
        <w:wordWrap/>
        <w:overflowPunct/>
        <w:topLinePunct w:val="0"/>
        <w:autoSpaceDE/>
        <w:autoSpaceDN/>
        <w:bidi w:val="0"/>
        <w:adjustRightInd w:val="0"/>
        <w:snapToGrid/>
        <w:spacing w:beforeAutospacing="0" w:afterAutospacing="0" w:line="360" w:lineRule="auto"/>
        <w:ind w:left="0" w:firstLine="0" w:firstLineChars="0"/>
        <w:textAlignment w:val="auto"/>
        <w:rPr>
          <w:rFonts w:hint="eastAsia" w:ascii="宋体" w:hAnsi="宋体" w:eastAsia="宋体" w:cs="宋体"/>
          <w:b w:val="0"/>
          <w:bCs w:val="0"/>
          <w:color w:val="auto"/>
          <w:sz w:val="28"/>
          <w:szCs w:val="28"/>
          <w:highlight w:val="none"/>
          <w:lang w:val="zh-CN"/>
        </w:rPr>
      </w:pPr>
      <w:r>
        <w:rPr>
          <w:rFonts w:hint="eastAsia" w:ascii="宋体" w:hAnsi="宋体" w:eastAsia="宋体" w:cs="宋体"/>
          <w:b w:val="0"/>
          <w:bCs w:val="0"/>
          <w:color w:val="auto"/>
          <w:sz w:val="28"/>
          <w:szCs w:val="28"/>
          <w:highlight w:val="none"/>
          <w:lang w:val="zh-CN"/>
        </w:rPr>
        <w:t>1.项目概况</w:t>
      </w:r>
    </w:p>
    <w:p>
      <w:pPr>
        <w:keepNext w:val="0"/>
        <w:keepLines w:val="0"/>
        <w:pageBreakBefore w:val="0"/>
        <w:widowControl w:val="0"/>
        <w:shd w:val="clear" w:color="auto" w:fill="FFFFFF"/>
        <w:kinsoku/>
        <w:wordWrap/>
        <w:overflowPunct/>
        <w:topLinePunct w:val="0"/>
        <w:autoSpaceDE/>
        <w:autoSpaceDN/>
        <w:bidi w:val="0"/>
        <w:adjustRightInd w:val="0"/>
        <w:snapToGrid/>
        <w:spacing w:beforeAutospacing="0" w:afterAutospacing="0" w:line="360" w:lineRule="auto"/>
        <w:ind w:left="0" w:firstLine="0" w:firstLineChars="0"/>
        <w:textAlignment w:val="auto"/>
        <w:rPr>
          <w:rFonts w:hint="eastAsia" w:ascii="宋体" w:hAnsi="宋体" w:cs="宋体"/>
          <w:b w:val="0"/>
          <w:bCs w:val="0"/>
          <w:color w:val="auto"/>
          <w:sz w:val="28"/>
          <w:szCs w:val="28"/>
          <w:highlight w:val="none"/>
          <w:lang w:val="en-US" w:eastAsia="zh-CN"/>
        </w:rPr>
      </w:pPr>
      <w:r>
        <w:rPr>
          <w:rFonts w:hint="eastAsia" w:ascii="宋体" w:hAnsi="宋体" w:cs="宋体"/>
          <w:b w:val="0"/>
          <w:bCs w:val="0"/>
          <w:color w:val="auto"/>
          <w:sz w:val="28"/>
          <w:szCs w:val="28"/>
          <w:highlight w:val="none"/>
          <w:lang w:val="en-US" w:eastAsia="zh-CN"/>
        </w:rPr>
        <w:t>见采购公告</w:t>
      </w:r>
    </w:p>
    <w:p>
      <w:pPr>
        <w:keepNext w:val="0"/>
        <w:keepLines w:val="0"/>
        <w:pageBreakBefore w:val="0"/>
        <w:widowControl w:val="0"/>
        <w:shd w:val="clear" w:color="auto" w:fill="FFFFFF"/>
        <w:kinsoku/>
        <w:wordWrap/>
        <w:overflowPunct/>
        <w:topLinePunct w:val="0"/>
        <w:autoSpaceDE/>
        <w:autoSpaceDN/>
        <w:bidi w:val="0"/>
        <w:adjustRightInd w:val="0"/>
        <w:snapToGrid/>
        <w:spacing w:beforeAutospacing="0" w:afterAutospacing="0" w:line="360" w:lineRule="auto"/>
        <w:ind w:left="0" w:firstLine="0" w:firstLineChars="0"/>
        <w:textAlignment w:val="auto"/>
        <w:rPr>
          <w:rFonts w:hint="eastAsia" w:ascii="宋体" w:hAnsi="宋体" w:eastAsia="宋体" w:cs="宋体"/>
          <w:b w:val="0"/>
          <w:bCs w:val="0"/>
          <w:color w:val="auto"/>
          <w:sz w:val="28"/>
          <w:szCs w:val="28"/>
          <w:highlight w:val="none"/>
          <w:lang w:val="zh-CN"/>
        </w:rPr>
      </w:pPr>
      <w:r>
        <w:rPr>
          <w:rFonts w:hint="eastAsia" w:ascii="宋体" w:hAnsi="宋体" w:eastAsia="宋体" w:cs="宋体"/>
          <w:b w:val="0"/>
          <w:bCs w:val="0"/>
          <w:color w:val="auto"/>
          <w:sz w:val="28"/>
          <w:szCs w:val="28"/>
          <w:highlight w:val="none"/>
          <w:lang w:val="zh-CN"/>
        </w:rPr>
        <w:t>2.主要</w:t>
      </w:r>
      <w:r>
        <w:rPr>
          <w:rFonts w:hint="eastAsia" w:ascii="宋体" w:hAnsi="宋体" w:eastAsia="宋体" w:cs="宋体"/>
          <w:b w:val="0"/>
          <w:bCs w:val="0"/>
          <w:color w:val="auto"/>
          <w:sz w:val="28"/>
          <w:szCs w:val="28"/>
          <w:highlight w:val="none"/>
          <w:lang w:val="en-US" w:eastAsia="zh-CN"/>
        </w:rPr>
        <w:t>技术要求</w:t>
      </w:r>
      <w:r>
        <w:rPr>
          <w:rFonts w:hint="eastAsia" w:ascii="宋体" w:hAnsi="宋体" w:eastAsia="宋体" w:cs="宋体"/>
          <w:b w:val="0"/>
          <w:bCs w:val="0"/>
          <w:color w:val="auto"/>
          <w:sz w:val="28"/>
          <w:szCs w:val="28"/>
          <w:highlight w:val="none"/>
          <w:lang w:val="zh-CN"/>
        </w:rPr>
        <w:t>:</w:t>
      </w:r>
      <w:r>
        <w:rPr>
          <w:rFonts w:hint="eastAsia" w:ascii="宋体" w:hAnsi="宋体" w:cs="宋体"/>
          <w:b w:val="0"/>
          <w:bCs w:val="0"/>
          <w:color w:val="auto"/>
          <w:sz w:val="28"/>
          <w:szCs w:val="28"/>
          <w:highlight w:val="none"/>
          <w:lang w:val="en-US" w:eastAsia="zh-CN"/>
        </w:rPr>
        <w:t>详见采购文件附件1</w:t>
      </w:r>
      <w:r>
        <w:rPr>
          <w:rFonts w:hint="eastAsia" w:ascii="宋体" w:hAnsi="宋体" w:eastAsia="宋体" w:cs="宋体"/>
          <w:color w:val="auto"/>
          <w:sz w:val="28"/>
          <w:szCs w:val="28"/>
          <w:highlight w:val="none"/>
          <w:lang w:eastAsia="zh-CN"/>
        </w:rPr>
        <w:t>。</w:t>
      </w:r>
    </w:p>
    <w:p>
      <w:pPr>
        <w:keepNext w:val="0"/>
        <w:keepLines w:val="0"/>
        <w:pageBreakBefore w:val="0"/>
        <w:widowControl w:val="0"/>
        <w:shd w:val="clear" w:color="auto" w:fill="FFFFFF"/>
        <w:kinsoku/>
        <w:wordWrap/>
        <w:overflowPunct/>
        <w:topLinePunct w:val="0"/>
        <w:autoSpaceDE/>
        <w:autoSpaceDN/>
        <w:bidi w:val="0"/>
        <w:snapToGrid/>
        <w:spacing w:beforeAutospacing="0" w:afterAutospacing="0" w:line="360" w:lineRule="auto"/>
        <w:ind w:left="0" w:firstLine="0" w:firstLineChars="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rPr>
        <w:t>3.</w:t>
      </w:r>
      <w:r>
        <w:rPr>
          <w:rFonts w:hint="eastAsia" w:ascii="宋体" w:hAnsi="宋体" w:eastAsia="宋体" w:cs="宋体"/>
          <w:color w:val="auto"/>
          <w:sz w:val="28"/>
          <w:szCs w:val="28"/>
          <w:highlight w:val="none"/>
          <w:lang w:eastAsia="zh-CN"/>
        </w:rPr>
        <w:t>供货时间</w:t>
      </w:r>
      <w:r>
        <w:rPr>
          <w:rFonts w:hint="eastAsia" w:ascii="宋体" w:hAnsi="宋体" w:eastAsia="宋体" w:cs="宋体"/>
          <w:color w:val="auto"/>
          <w:sz w:val="28"/>
          <w:szCs w:val="28"/>
          <w:highlight w:val="none"/>
        </w:rPr>
        <w:t>：</w:t>
      </w:r>
      <w:r>
        <w:rPr>
          <w:rFonts w:hint="eastAsia" w:ascii="宋体" w:hAnsi="宋体" w:cs="宋体"/>
          <w:color w:val="auto"/>
          <w:sz w:val="28"/>
          <w:szCs w:val="28"/>
          <w:highlight w:val="none"/>
          <w:lang w:val="en-US" w:eastAsia="zh-CN"/>
        </w:rPr>
        <w:t>见采购公告</w:t>
      </w:r>
      <w:r>
        <w:rPr>
          <w:rFonts w:hint="eastAsia" w:ascii="宋体" w:hAnsi="宋体" w:eastAsia="宋体" w:cs="宋体"/>
          <w:color w:val="auto"/>
          <w:sz w:val="28"/>
          <w:szCs w:val="28"/>
          <w:highlight w:val="none"/>
          <w:lang w:val="en-US" w:eastAsia="zh-CN"/>
        </w:rPr>
        <w:t>。</w:t>
      </w:r>
    </w:p>
    <w:p>
      <w:pPr>
        <w:keepNext w:val="0"/>
        <w:keepLines w:val="0"/>
        <w:pageBreakBefore w:val="0"/>
        <w:widowControl w:val="0"/>
        <w:shd w:val="clear" w:color="auto" w:fill="FFFFFF"/>
        <w:kinsoku/>
        <w:wordWrap/>
        <w:overflowPunct/>
        <w:topLinePunct w:val="0"/>
        <w:autoSpaceDE/>
        <w:autoSpaceDN/>
        <w:bidi w:val="0"/>
        <w:snapToGrid/>
        <w:spacing w:beforeAutospacing="0" w:afterAutospacing="0" w:line="360" w:lineRule="auto"/>
        <w:ind w:left="0" w:firstLine="0" w:firstLineChars="0"/>
        <w:textAlignment w:val="auto"/>
        <w:rPr>
          <w:rFonts w:hint="eastAsia" w:ascii="宋体" w:hAnsi="宋体" w:eastAsia="宋体" w:cs="宋体"/>
          <w:color w:val="auto"/>
          <w:sz w:val="28"/>
          <w:szCs w:val="28"/>
          <w:highlight w:val="yellow"/>
          <w:lang w:val="zh-CN" w:eastAsia="zh-CN"/>
        </w:rPr>
      </w:pPr>
      <w:r>
        <w:rPr>
          <w:rFonts w:hint="eastAsia" w:ascii="宋体" w:hAnsi="宋体" w:eastAsia="宋体" w:cs="宋体"/>
          <w:color w:val="auto"/>
          <w:sz w:val="28"/>
          <w:szCs w:val="28"/>
          <w:highlight w:val="none"/>
          <w:lang w:val="en-US" w:eastAsia="zh-CN"/>
        </w:rPr>
        <w:t>4.供货地点：</w:t>
      </w:r>
      <w:r>
        <w:rPr>
          <w:rFonts w:hint="eastAsia" w:ascii="宋体" w:hAnsi="宋体" w:eastAsia="宋体" w:cs="宋体"/>
          <w:color w:val="auto"/>
          <w:sz w:val="28"/>
          <w:szCs w:val="28"/>
          <w:highlight w:val="yellow"/>
          <w:lang w:val="en-US" w:eastAsia="zh-CN"/>
        </w:rPr>
        <w:t>河北省石家庄市</w:t>
      </w:r>
      <w:r>
        <w:rPr>
          <w:rFonts w:hint="eastAsia" w:ascii="宋体" w:hAnsi="宋体" w:cs="宋体"/>
          <w:color w:val="auto"/>
          <w:sz w:val="28"/>
          <w:szCs w:val="28"/>
          <w:highlight w:val="yellow"/>
          <w:lang w:val="en-US" w:eastAsia="zh-CN"/>
        </w:rPr>
        <w:t>高新区裕华东路375号</w:t>
      </w:r>
      <w:r>
        <w:rPr>
          <w:rFonts w:hint="eastAsia" w:ascii="宋体" w:hAnsi="宋体" w:eastAsia="宋体" w:cs="宋体"/>
          <w:color w:val="auto"/>
          <w:sz w:val="28"/>
          <w:szCs w:val="28"/>
          <w:highlight w:val="yellow"/>
          <w:lang w:val="en-US" w:eastAsia="zh-CN"/>
        </w:rPr>
        <w:t>石家庄国祥运输设备有限公司库房内指定地点</w:t>
      </w:r>
      <w:r>
        <w:rPr>
          <w:rFonts w:hint="eastAsia" w:ascii="宋体" w:hAnsi="宋体" w:cs="宋体"/>
          <w:color w:val="auto"/>
          <w:sz w:val="28"/>
          <w:szCs w:val="28"/>
          <w:highlight w:val="yellow"/>
          <w:lang w:val="en-US" w:eastAsia="zh-CN"/>
        </w:rPr>
        <w:t>。</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Times New Roman"/>
          <w:color w:val="auto"/>
          <w:sz w:val="28"/>
          <w:highlight w:val="none"/>
          <w:lang w:val="en-US" w:eastAsia="zh-CN"/>
        </w:rPr>
      </w:pPr>
      <w:r>
        <w:rPr>
          <w:rFonts w:hint="eastAsia" w:ascii="宋体" w:hAnsi="宋体" w:eastAsia="宋体" w:cs="Times New Roman"/>
          <w:color w:val="auto"/>
          <w:sz w:val="28"/>
          <w:highlight w:val="none"/>
          <w:lang w:val="en-US" w:eastAsia="zh-CN"/>
        </w:rPr>
        <w:t>5.其余详见资格预审文件</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Times New Roman"/>
          <w:color w:val="auto"/>
          <w:sz w:val="28"/>
          <w:highlight w:val="none"/>
          <w:lang w:val="zh-CN"/>
        </w:rPr>
      </w:pPr>
      <w:r>
        <w:rPr>
          <w:rFonts w:hint="eastAsia" w:ascii="宋体" w:hAnsi="宋体" w:eastAsia="宋体" w:cs="Times New Roman"/>
          <w:color w:val="auto"/>
          <w:sz w:val="28"/>
          <w:highlight w:val="none"/>
          <w:lang w:val="en-US" w:eastAsia="zh-CN"/>
        </w:rPr>
        <w:t>6</w:t>
      </w:r>
      <w:r>
        <w:rPr>
          <w:rFonts w:hint="eastAsia" w:ascii="宋体" w:hAnsi="宋体" w:eastAsia="宋体" w:cs="Times New Roman"/>
          <w:color w:val="auto"/>
          <w:sz w:val="28"/>
          <w:highlight w:val="none"/>
        </w:rPr>
        <w:t>.合格投标人：</w:t>
      </w:r>
      <w:r>
        <w:rPr>
          <w:rFonts w:hint="eastAsia" w:ascii="宋体" w:hAnsi="宋体" w:cs="Times New Roman"/>
          <w:color w:val="auto"/>
          <w:sz w:val="28"/>
          <w:highlight w:val="none"/>
          <w:lang w:val="en-US" w:eastAsia="zh-CN"/>
        </w:rPr>
        <w:t>见采购公告</w:t>
      </w:r>
      <w:r>
        <w:rPr>
          <w:rFonts w:hint="eastAsia" w:ascii="宋体" w:hAnsi="宋体" w:eastAsia="宋体" w:cs="Times New Roman"/>
          <w:color w:val="auto"/>
          <w:sz w:val="28"/>
          <w:highlight w:val="none"/>
          <w:lang w:val="zh-CN"/>
        </w:rPr>
        <w:t>。</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Times New Roman"/>
          <w:color w:val="auto"/>
          <w:sz w:val="28"/>
          <w:highlight w:val="none"/>
        </w:rPr>
      </w:pPr>
      <w:r>
        <w:rPr>
          <w:rFonts w:hint="eastAsia" w:ascii="宋体" w:hAnsi="宋体" w:eastAsia="宋体" w:cs="Times New Roman"/>
          <w:color w:val="auto"/>
          <w:sz w:val="28"/>
          <w:highlight w:val="none"/>
          <w:lang w:val="en-US" w:eastAsia="zh-CN"/>
        </w:rPr>
        <w:t>7</w:t>
      </w:r>
      <w:r>
        <w:rPr>
          <w:rFonts w:hint="eastAsia" w:ascii="宋体" w:hAnsi="宋体" w:eastAsia="宋体" w:cs="Times New Roman"/>
          <w:color w:val="auto"/>
          <w:sz w:val="28"/>
          <w:highlight w:val="none"/>
        </w:rPr>
        <w:t>.投标委托：如果投标人不是法定代表人，需有《法定代表人授权书》</w:t>
      </w:r>
      <w:r>
        <w:rPr>
          <w:rFonts w:hint="eastAsia" w:ascii="宋体" w:hAnsi="宋体" w:eastAsia="宋体" w:cs="Times New Roman"/>
          <w:color w:val="auto"/>
          <w:sz w:val="28"/>
          <w:highlight w:val="none"/>
          <w:lang w:val="zh-CN"/>
        </w:rPr>
        <w:t>。</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Times New Roman"/>
          <w:color w:val="auto"/>
          <w:sz w:val="28"/>
          <w:highlight w:val="none"/>
        </w:rPr>
      </w:pPr>
      <w:r>
        <w:rPr>
          <w:rFonts w:hint="eastAsia" w:ascii="宋体" w:hAnsi="宋体" w:eastAsia="宋体" w:cs="Times New Roman"/>
          <w:color w:val="auto"/>
          <w:sz w:val="28"/>
          <w:highlight w:val="none"/>
          <w:lang w:val="en-US" w:eastAsia="zh-CN"/>
        </w:rPr>
        <w:t>8</w:t>
      </w:r>
      <w:r>
        <w:rPr>
          <w:rFonts w:hint="eastAsia" w:ascii="宋体" w:hAnsi="宋体" w:eastAsia="宋体" w:cs="Times New Roman"/>
          <w:color w:val="auto"/>
          <w:sz w:val="28"/>
          <w:highlight w:val="none"/>
        </w:rPr>
        <w:t>.投标费用：无论招标结果如何</w:t>
      </w:r>
      <w:r>
        <w:rPr>
          <w:rFonts w:hint="eastAsia" w:ascii="宋体" w:hAnsi="宋体" w:cs="Times New Roman"/>
          <w:color w:val="auto"/>
          <w:sz w:val="28"/>
          <w:highlight w:val="none"/>
          <w:lang w:eastAsia="zh-CN"/>
        </w:rPr>
        <w:t>，</w:t>
      </w:r>
      <w:r>
        <w:rPr>
          <w:rFonts w:hint="eastAsia" w:ascii="宋体" w:hAnsi="宋体" w:cs="Times New Roman"/>
          <w:color w:val="auto"/>
          <w:sz w:val="28"/>
          <w:highlight w:val="none"/>
          <w:lang w:val="en-US" w:eastAsia="zh-CN"/>
        </w:rPr>
        <w:t>投标（响应）</w:t>
      </w:r>
      <w:r>
        <w:rPr>
          <w:rFonts w:hint="eastAsia" w:ascii="宋体" w:hAnsi="宋体" w:eastAsia="宋体" w:cs="Times New Roman"/>
          <w:color w:val="auto"/>
          <w:sz w:val="28"/>
          <w:highlight w:val="none"/>
        </w:rPr>
        <w:t>方都要自行承担参加投标的全部费用。</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Times New Roman"/>
          <w:b/>
          <w:bCs/>
          <w:color w:val="auto"/>
          <w:sz w:val="28"/>
          <w:highlight w:val="yellow"/>
        </w:rPr>
      </w:pPr>
      <w:bookmarkStart w:id="14" w:name="_Toc14521"/>
      <w:bookmarkStart w:id="15" w:name="_Toc103875883"/>
      <w:bookmarkStart w:id="16" w:name="_Toc103274063"/>
      <w:bookmarkStart w:id="17" w:name="_Toc15240"/>
      <w:bookmarkStart w:id="18" w:name="_Toc101976971"/>
      <w:r>
        <w:rPr>
          <w:rFonts w:hint="eastAsia" w:ascii="宋体" w:hAnsi="宋体" w:eastAsia="宋体" w:cs="Times New Roman"/>
          <w:b/>
          <w:bCs/>
          <w:color w:val="auto"/>
          <w:sz w:val="28"/>
          <w:highlight w:val="yellow"/>
          <w:lang w:val="en-US" w:eastAsia="zh-CN"/>
        </w:rPr>
        <w:t>9.</w:t>
      </w:r>
      <w:r>
        <w:rPr>
          <w:rFonts w:hint="eastAsia" w:ascii="宋体" w:hAnsi="宋体" w:eastAsia="宋体" w:cs="Times New Roman"/>
          <w:b/>
          <w:bCs/>
          <w:color w:val="auto"/>
          <w:sz w:val="28"/>
          <w:highlight w:val="yellow"/>
        </w:rPr>
        <w:t>分包</w:t>
      </w:r>
      <w:bookmarkEnd w:id="14"/>
      <w:bookmarkEnd w:id="15"/>
      <w:bookmarkEnd w:id="16"/>
      <w:bookmarkEnd w:id="17"/>
      <w:bookmarkEnd w:id="18"/>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Times New Roman"/>
          <w:color w:val="auto"/>
          <w:sz w:val="28"/>
          <w:highlight w:val="yellow"/>
          <w:lang w:eastAsia="zh-CN"/>
        </w:rPr>
      </w:pPr>
      <w:r>
        <w:rPr>
          <w:rFonts w:hint="eastAsia" w:ascii="宋体" w:hAnsi="宋体" w:eastAsia="宋体" w:cs="Times New Roman"/>
          <w:color w:val="auto"/>
          <w:sz w:val="28"/>
          <w:highlight w:val="yellow"/>
          <w:lang w:val="en-US" w:eastAsia="zh-CN"/>
        </w:rPr>
        <w:t>9.1</w:t>
      </w:r>
      <w:r>
        <w:rPr>
          <w:rFonts w:hint="eastAsia" w:ascii="宋体" w:hAnsi="宋体" w:eastAsia="宋体" w:cs="Times New Roman"/>
          <w:color w:val="auto"/>
          <w:sz w:val="28"/>
          <w:highlight w:val="yellow"/>
        </w:rPr>
        <w:t xml:space="preserve"> </w:t>
      </w:r>
      <w:r>
        <w:rPr>
          <w:rFonts w:hint="eastAsia" w:ascii="宋体" w:hAnsi="宋体" w:eastAsia="宋体" w:cs="Times New Roman"/>
          <w:color w:val="FF0000"/>
          <w:sz w:val="28"/>
          <w:highlight w:val="yellow"/>
        </w:rPr>
        <w:t>严禁</w:t>
      </w:r>
      <w:r>
        <w:rPr>
          <w:rFonts w:hint="eastAsia" w:ascii="宋体" w:hAnsi="宋体" w:cs="Times New Roman"/>
          <w:color w:val="FF0000"/>
          <w:sz w:val="28"/>
          <w:highlight w:val="yellow"/>
          <w:lang w:val="en-US" w:eastAsia="zh-CN"/>
        </w:rPr>
        <w:t>中</w:t>
      </w:r>
      <w:r>
        <w:rPr>
          <w:rFonts w:hint="eastAsia" w:ascii="宋体" w:hAnsi="宋体" w:eastAsia="宋体" w:cs="Times New Roman"/>
          <w:color w:val="FF0000"/>
          <w:sz w:val="28"/>
          <w:highlight w:val="yellow"/>
        </w:rPr>
        <w:t>标人在取得采购数量后擅自转包和分包</w:t>
      </w:r>
      <w:r>
        <w:rPr>
          <w:rFonts w:hint="eastAsia" w:ascii="宋体" w:hAnsi="宋体" w:cs="Times New Roman"/>
          <w:color w:val="FF0000"/>
          <w:sz w:val="28"/>
          <w:highlight w:val="yellow"/>
          <w:lang w:eastAsia="zh-CN"/>
        </w:rPr>
        <w:t>。如有转包</w:t>
      </w:r>
      <w:r>
        <w:rPr>
          <w:rFonts w:hint="eastAsia" w:ascii="宋体" w:hAnsi="宋体" w:cs="Times New Roman"/>
          <w:color w:val="FF0000"/>
          <w:sz w:val="28"/>
          <w:highlight w:val="yellow"/>
          <w:lang w:val="en-US" w:eastAsia="zh-CN"/>
        </w:rPr>
        <w:t>和分包</w:t>
      </w:r>
      <w:r>
        <w:rPr>
          <w:rFonts w:hint="eastAsia" w:ascii="宋体" w:hAnsi="宋体" w:cs="Times New Roman"/>
          <w:color w:val="FF0000"/>
          <w:sz w:val="28"/>
          <w:highlight w:val="yellow"/>
          <w:lang w:eastAsia="zh-CN"/>
        </w:rPr>
        <w:t>招标方有权取消中标方资格，并对其后续投标资格产生影响。</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Times New Roman"/>
          <w:b/>
          <w:bCs/>
          <w:color w:val="auto"/>
          <w:sz w:val="28"/>
          <w:highlight w:val="none"/>
        </w:rPr>
      </w:pPr>
      <w:bookmarkStart w:id="19" w:name="_Toc101976972"/>
      <w:bookmarkStart w:id="20" w:name="_Toc103274064"/>
      <w:bookmarkStart w:id="21" w:name="_Toc14649"/>
      <w:bookmarkStart w:id="22" w:name="_Toc14957"/>
      <w:bookmarkStart w:id="23" w:name="_Toc103875884"/>
      <w:r>
        <w:rPr>
          <w:rFonts w:hint="eastAsia" w:ascii="宋体" w:hAnsi="宋体" w:eastAsia="宋体" w:cs="Times New Roman"/>
          <w:b/>
          <w:bCs/>
          <w:color w:val="auto"/>
          <w:sz w:val="28"/>
          <w:highlight w:val="none"/>
          <w:lang w:val="en-US" w:eastAsia="zh-CN"/>
        </w:rPr>
        <w:t>10.</w:t>
      </w:r>
      <w:r>
        <w:rPr>
          <w:rFonts w:hint="eastAsia" w:ascii="宋体" w:hAnsi="宋体" w:eastAsia="宋体" w:cs="Times New Roman"/>
          <w:b/>
          <w:bCs/>
          <w:color w:val="auto"/>
          <w:sz w:val="28"/>
          <w:highlight w:val="none"/>
        </w:rPr>
        <w:t>响应和偏差</w:t>
      </w:r>
      <w:bookmarkEnd w:id="19"/>
      <w:bookmarkEnd w:id="20"/>
      <w:bookmarkEnd w:id="21"/>
      <w:bookmarkEnd w:id="22"/>
      <w:bookmarkEnd w:id="23"/>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eastAsia" w:ascii="宋体" w:hAnsi="宋体" w:eastAsia="宋体" w:cs="Times New Roman"/>
          <w:color w:val="auto"/>
          <w:sz w:val="28"/>
          <w:highlight w:val="none"/>
        </w:rPr>
      </w:pPr>
      <w:r>
        <w:rPr>
          <w:rFonts w:hint="eastAsia" w:ascii="宋体" w:hAnsi="宋体" w:eastAsia="宋体" w:cs="Times New Roman"/>
          <w:color w:val="auto"/>
          <w:sz w:val="28"/>
          <w:highlight w:val="none"/>
        </w:rPr>
        <w:t>1</w:t>
      </w:r>
      <w:r>
        <w:rPr>
          <w:rFonts w:hint="eastAsia" w:ascii="宋体" w:hAnsi="宋体" w:eastAsia="宋体" w:cs="Times New Roman"/>
          <w:color w:val="auto"/>
          <w:sz w:val="28"/>
          <w:highlight w:val="none"/>
          <w:lang w:val="en-US" w:eastAsia="zh-CN"/>
        </w:rPr>
        <w:t>0</w:t>
      </w:r>
      <w:r>
        <w:rPr>
          <w:rFonts w:hint="eastAsia" w:ascii="宋体" w:hAnsi="宋体" w:eastAsia="宋体" w:cs="Times New Roman"/>
          <w:color w:val="auto"/>
          <w:sz w:val="28"/>
          <w:highlight w:val="none"/>
        </w:rPr>
        <w:t>.1投标文件应当对招标文件的实质性要求和条件作出满足性或更有利于招标人的响应，否则，投标人的投标将被否决。实质性要求和条件见投标人须知前附表。</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pPr>
      <w:r>
        <w:rPr>
          <w:rFonts w:hint="eastAsia" w:ascii="宋体" w:hAnsi="宋体" w:eastAsia="宋体" w:cs="Times New Roman"/>
          <w:color w:val="auto"/>
          <w:sz w:val="28"/>
          <w:highlight w:val="none"/>
        </w:rPr>
        <w:t>1</w:t>
      </w:r>
      <w:r>
        <w:rPr>
          <w:rFonts w:hint="eastAsia" w:ascii="宋体" w:hAnsi="宋体" w:eastAsia="宋体" w:cs="Times New Roman"/>
          <w:color w:val="auto"/>
          <w:sz w:val="28"/>
          <w:highlight w:val="none"/>
          <w:lang w:val="en-US" w:eastAsia="zh-CN"/>
        </w:rPr>
        <w:t>0</w:t>
      </w:r>
      <w:r>
        <w:rPr>
          <w:rFonts w:hint="eastAsia" w:ascii="宋体" w:hAnsi="宋体" w:eastAsia="宋体" w:cs="Times New Roman"/>
          <w:color w:val="auto"/>
          <w:sz w:val="28"/>
          <w:highlight w:val="none"/>
        </w:rPr>
        <w:t>.</w:t>
      </w:r>
      <w:r>
        <w:rPr>
          <w:rFonts w:hint="eastAsia" w:ascii="宋体" w:hAnsi="宋体" w:eastAsia="宋体" w:cs="Times New Roman"/>
          <w:color w:val="auto"/>
          <w:sz w:val="28"/>
          <w:highlight w:val="none"/>
          <w:lang w:val="en-US" w:eastAsia="zh-CN"/>
        </w:rPr>
        <w:t>2</w:t>
      </w:r>
      <w:r>
        <w:rPr>
          <w:rFonts w:hint="eastAsia" w:ascii="宋体" w:hAnsi="宋体" w:eastAsia="宋体" w:cs="Times New Roman"/>
          <w:color w:val="auto"/>
          <w:sz w:val="28"/>
          <w:highlight w:val="none"/>
        </w:rPr>
        <w:t xml:space="preserve"> 投标文件对招标文件的</w:t>
      </w:r>
      <w:r>
        <w:rPr>
          <w:rFonts w:hint="eastAsia" w:ascii="宋体" w:hAnsi="宋体" w:cs="Times New Roman"/>
          <w:color w:val="auto"/>
          <w:sz w:val="28"/>
          <w:highlight w:val="none"/>
          <w:lang w:val="en-US" w:eastAsia="zh-CN"/>
        </w:rPr>
        <w:t>各项</w:t>
      </w:r>
      <w:r>
        <w:rPr>
          <w:rFonts w:hint="eastAsia" w:ascii="宋体" w:hAnsi="宋体" w:eastAsia="宋体" w:cs="Times New Roman"/>
          <w:color w:val="auto"/>
          <w:sz w:val="28"/>
          <w:highlight w:val="none"/>
        </w:rPr>
        <w:t>偏差，均应在投标文件的商务和技术偏差表中列明，除列明的内容外，视为投标人响应招标文件的全部要求。</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ascii="宋体" w:hAnsi="宋体"/>
          <w:b/>
          <w:bCs/>
          <w:color w:val="auto"/>
          <w:sz w:val="28"/>
          <w:highlight w:val="none"/>
        </w:rPr>
      </w:pPr>
      <w:r>
        <w:rPr>
          <w:rFonts w:hint="eastAsia" w:ascii="宋体" w:hAnsi="宋体"/>
          <w:b/>
          <w:bCs/>
          <w:color w:val="auto"/>
          <w:sz w:val="28"/>
          <w:highlight w:val="none"/>
          <w:lang w:val="en-US" w:eastAsia="zh-CN"/>
        </w:rPr>
        <w:t>11</w:t>
      </w:r>
      <w:r>
        <w:rPr>
          <w:rFonts w:ascii="宋体" w:hAnsi="宋体"/>
          <w:b/>
          <w:bCs/>
          <w:color w:val="auto"/>
          <w:sz w:val="28"/>
          <w:highlight w:val="none"/>
        </w:rPr>
        <w:t>.</w:t>
      </w:r>
      <w:r>
        <w:rPr>
          <w:rFonts w:hint="eastAsia" w:ascii="宋体" w:hAnsi="宋体"/>
          <w:b/>
          <w:bCs/>
          <w:color w:val="auto"/>
          <w:sz w:val="28"/>
          <w:highlight w:val="none"/>
          <w:lang w:val="en-US" w:eastAsia="zh-CN"/>
        </w:rPr>
        <w:t>采购</w:t>
      </w:r>
      <w:r>
        <w:rPr>
          <w:rFonts w:ascii="宋体" w:hAnsi="宋体"/>
          <w:b/>
          <w:bCs/>
          <w:color w:val="auto"/>
          <w:sz w:val="28"/>
          <w:highlight w:val="none"/>
        </w:rPr>
        <w:t>文件：</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ascii="宋体" w:hAnsi="宋体"/>
          <w:b w:val="0"/>
          <w:bCs w:val="0"/>
          <w:color w:val="auto"/>
          <w:sz w:val="28"/>
          <w:szCs w:val="20"/>
          <w:highlight w:val="none"/>
        </w:rPr>
      </w:pPr>
      <w:r>
        <w:rPr>
          <w:rFonts w:hint="eastAsia" w:ascii="宋体" w:hAnsi="宋体"/>
          <w:b w:val="0"/>
          <w:bCs w:val="0"/>
          <w:color w:val="auto"/>
          <w:sz w:val="28"/>
          <w:highlight w:val="none"/>
          <w:lang w:val="en-US" w:eastAsia="zh-CN"/>
        </w:rPr>
        <w:t>11</w:t>
      </w:r>
      <w:r>
        <w:rPr>
          <w:rFonts w:ascii="宋体" w:hAnsi="宋体"/>
          <w:b w:val="0"/>
          <w:bCs w:val="0"/>
          <w:color w:val="auto"/>
          <w:sz w:val="28"/>
          <w:highlight w:val="none"/>
        </w:rPr>
        <w:t>.1</w:t>
      </w:r>
      <w:r>
        <w:rPr>
          <w:rFonts w:hint="eastAsia" w:ascii="宋体" w:hAnsi="宋体"/>
          <w:b w:val="0"/>
          <w:bCs w:val="0"/>
          <w:color w:val="auto"/>
          <w:sz w:val="28"/>
          <w:highlight w:val="none"/>
          <w:lang w:val="en-US" w:eastAsia="zh-CN"/>
        </w:rPr>
        <w:t>采购</w:t>
      </w:r>
      <w:r>
        <w:rPr>
          <w:rFonts w:ascii="宋体" w:hAnsi="宋体"/>
          <w:b w:val="0"/>
          <w:bCs w:val="0"/>
          <w:color w:val="auto"/>
          <w:sz w:val="28"/>
          <w:highlight w:val="none"/>
        </w:rPr>
        <w:t>文件由</w:t>
      </w:r>
      <w:r>
        <w:rPr>
          <w:rFonts w:hint="eastAsia" w:ascii="宋体" w:hAnsi="宋体"/>
          <w:b w:val="0"/>
          <w:bCs w:val="0"/>
          <w:color w:val="auto"/>
          <w:sz w:val="28"/>
          <w:highlight w:val="none"/>
          <w:lang w:val="en-US" w:eastAsia="zh-CN"/>
        </w:rPr>
        <w:t>采购</w:t>
      </w:r>
      <w:r>
        <w:rPr>
          <w:rFonts w:ascii="宋体" w:hAnsi="宋体"/>
          <w:b w:val="0"/>
          <w:bCs w:val="0"/>
          <w:color w:val="auto"/>
          <w:sz w:val="28"/>
          <w:highlight w:val="none"/>
        </w:rPr>
        <w:t>文件总目录所列内容组成。</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ascii="宋体" w:hAnsi="宋体"/>
          <w:b w:val="0"/>
          <w:bCs w:val="0"/>
          <w:color w:val="auto"/>
          <w:sz w:val="28"/>
          <w:szCs w:val="20"/>
          <w:highlight w:val="none"/>
        </w:rPr>
      </w:pPr>
      <w:r>
        <w:rPr>
          <w:rFonts w:hint="eastAsia" w:ascii="宋体" w:hAnsi="宋体"/>
          <w:b w:val="0"/>
          <w:bCs w:val="0"/>
          <w:color w:val="auto"/>
          <w:sz w:val="28"/>
          <w:highlight w:val="none"/>
          <w:lang w:val="en-US" w:eastAsia="zh-CN"/>
        </w:rPr>
        <w:t>11</w:t>
      </w:r>
      <w:r>
        <w:rPr>
          <w:rFonts w:ascii="宋体" w:hAnsi="宋体"/>
          <w:b w:val="0"/>
          <w:bCs w:val="0"/>
          <w:color w:val="auto"/>
          <w:sz w:val="28"/>
          <w:highlight w:val="none"/>
        </w:rPr>
        <w:t>.2投标方应详细阅读</w:t>
      </w:r>
      <w:r>
        <w:rPr>
          <w:rFonts w:hint="eastAsia" w:ascii="宋体" w:hAnsi="宋体"/>
          <w:b w:val="0"/>
          <w:bCs w:val="0"/>
          <w:color w:val="auto"/>
          <w:sz w:val="28"/>
          <w:highlight w:val="none"/>
          <w:lang w:val="en-US" w:eastAsia="zh-CN"/>
        </w:rPr>
        <w:t>采购</w:t>
      </w:r>
      <w:r>
        <w:rPr>
          <w:rFonts w:ascii="宋体" w:hAnsi="宋体"/>
          <w:b w:val="0"/>
          <w:bCs w:val="0"/>
          <w:color w:val="auto"/>
          <w:sz w:val="28"/>
          <w:highlight w:val="none"/>
        </w:rPr>
        <w:t>文件的全部内容；</w:t>
      </w:r>
      <w:r>
        <w:rPr>
          <w:rFonts w:hint="eastAsia" w:ascii="宋体" w:hAnsi="宋体"/>
          <w:b w:val="0"/>
          <w:bCs w:val="0"/>
          <w:color w:val="auto"/>
          <w:sz w:val="28"/>
          <w:highlight w:val="none"/>
        </w:rPr>
        <w:t>未</w:t>
      </w:r>
      <w:r>
        <w:rPr>
          <w:rFonts w:ascii="宋体" w:hAnsi="宋体"/>
          <w:b w:val="0"/>
          <w:bCs w:val="0"/>
          <w:color w:val="auto"/>
          <w:sz w:val="28"/>
          <w:highlight w:val="none"/>
        </w:rPr>
        <w:t>按</w:t>
      </w:r>
      <w:r>
        <w:rPr>
          <w:rFonts w:hint="eastAsia" w:ascii="宋体" w:hAnsi="宋体"/>
          <w:b w:val="0"/>
          <w:bCs w:val="0"/>
          <w:color w:val="auto"/>
          <w:sz w:val="28"/>
          <w:highlight w:val="none"/>
          <w:lang w:val="en-US" w:eastAsia="zh-CN"/>
        </w:rPr>
        <w:t>采购</w:t>
      </w:r>
      <w:r>
        <w:rPr>
          <w:rFonts w:ascii="宋体" w:hAnsi="宋体"/>
          <w:b w:val="0"/>
          <w:bCs w:val="0"/>
          <w:color w:val="auto"/>
          <w:sz w:val="28"/>
          <w:highlight w:val="none"/>
        </w:rPr>
        <w:t>文件的内容要求提供的投标文件，可能导致投标被拒绝</w:t>
      </w:r>
      <w:r>
        <w:rPr>
          <w:rFonts w:hint="eastAsia" w:ascii="宋体" w:hAnsi="宋体"/>
          <w:b w:val="0"/>
          <w:bCs w:val="0"/>
          <w:color w:val="auto"/>
          <w:sz w:val="28"/>
          <w:highlight w:val="none"/>
        </w:rPr>
        <w:t>或废标</w:t>
      </w:r>
      <w:r>
        <w:rPr>
          <w:rFonts w:ascii="宋体" w:hAnsi="宋体"/>
          <w:b w:val="0"/>
          <w:bCs w:val="0"/>
          <w:color w:val="auto"/>
          <w:sz w:val="28"/>
          <w:highlight w:val="none"/>
        </w:rPr>
        <w:t>。</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hint="default" w:ascii="宋体" w:hAnsi="宋体"/>
          <w:b w:val="0"/>
          <w:bCs w:val="0"/>
          <w:color w:val="auto"/>
          <w:sz w:val="28"/>
          <w:szCs w:val="20"/>
          <w:highlight w:val="none"/>
          <w:lang w:val="en-US"/>
        </w:rPr>
      </w:pPr>
      <w:r>
        <w:rPr>
          <w:rFonts w:hint="eastAsia" w:ascii="宋体" w:hAnsi="宋体"/>
          <w:b w:val="0"/>
          <w:bCs w:val="0"/>
          <w:color w:val="auto"/>
          <w:sz w:val="28"/>
          <w:highlight w:val="none"/>
          <w:lang w:val="en-US" w:eastAsia="zh-CN"/>
        </w:rPr>
        <w:t>12</w:t>
      </w:r>
      <w:r>
        <w:rPr>
          <w:rFonts w:ascii="宋体" w:hAnsi="宋体"/>
          <w:b w:val="0"/>
          <w:bCs w:val="0"/>
          <w:color w:val="auto"/>
          <w:sz w:val="28"/>
          <w:highlight w:val="none"/>
        </w:rPr>
        <w:t>.</w:t>
      </w:r>
      <w:r>
        <w:rPr>
          <w:rFonts w:hint="eastAsia" w:ascii="宋体" w:hAnsi="宋体"/>
          <w:b w:val="0"/>
          <w:bCs w:val="0"/>
          <w:color w:val="auto"/>
          <w:sz w:val="28"/>
          <w:highlight w:val="none"/>
          <w:lang w:val="en-US" w:eastAsia="zh-CN"/>
        </w:rPr>
        <w:t>采购</w:t>
      </w:r>
      <w:r>
        <w:rPr>
          <w:rFonts w:ascii="宋体" w:hAnsi="宋体"/>
          <w:b w:val="0"/>
          <w:bCs w:val="0"/>
          <w:color w:val="auto"/>
          <w:sz w:val="28"/>
          <w:highlight w:val="none"/>
        </w:rPr>
        <w:t>文件的澄清：</w:t>
      </w:r>
      <w:r>
        <w:rPr>
          <w:rFonts w:hint="eastAsia" w:ascii="宋体" w:hAnsi="宋体"/>
          <w:b w:val="0"/>
          <w:bCs w:val="0"/>
          <w:color w:val="auto"/>
          <w:sz w:val="28"/>
          <w:highlight w:val="none"/>
          <w:lang w:val="en-US" w:eastAsia="zh-CN"/>
        </w:rPr>
        <w:t>如果疑问，通过电子采购平台要求招标人对资格预审文件进行澄清。采购人通过</w:t>
      </w:r>
      <w:r>
        <w:rPr>
          <w:rFonts w:hint="eastAsia" w:ascii="宋体" w:hAnsi="宋体" w:eastAsia="宋体" w:cs="Times New Roman"/>
          <w:b w:val="0"/>
          <w:bCs w:val="0"/>
          <w:color w:val="auto"/>
          <w:sz w:val="28"/>
          <w:highlight w:val="none"/>
          <w:lang w:val="en-US" w:eastAsia="zh-CN"/>
        </w:rPr>
        <w:t>电子采购平台将澄清内容发给所有下载资格预审文件的申请人，但不指明澄清问题的来源。申请人收到澄清后，应在申请人须知前附表规定的时间内登录电子采购平台，确认已收到该澄清。</w:t>
      </w:r>
      <w:r>
        <w:rPr>
          <w:rFonts w:hint="eastAsia" w:ascii="宋体" w:hAnsi="宋体" w:cs="Times New Roman"/>
          <w:b w:val="0"/>
          <w:bCs w:val="0"/>
          <w:color w:val="auto"/>
          <w:sz w:val="28"/>
          <w:highlight w:val="none"/>
          <w:lang w:val="en-US" w:eastAsia="zh-CN"/>
        </w:rPr>
        <w:t>采购方有权在开标时对全部投标人进行澄清，投标人在开标现场确定收到澄清。</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ascii="宋体" w:hAnsi="宋体"/>
          <w:b/>
          <w:bCs/>
          <w:color w:val="auto"/>
          <w:sz w:val="28"/>
          <w:szCs w:val="20"/>
          <w:highlight w:val="none"/>
        </w:rPr>
      </w:pPr>
      <w:r>
        <w:rPr>
          <w:rFonts w:hint="eastAsia" w:ascii="宋体" w:hAnsi="宋体"/>
          <w:b/>
          <w:bCs/>
          <w:color w:val="auto"/>
          <w:sz w:val="28"/>
          <w:highlight w:val="none"/>
          <w:lang w:val="en-US" w:eastAsia="zh-CN"/>
        </w:rPr>
        <w:t>13</w:t>
      </w:r>
      <w:r>
        <w:rPr>
          <w:rFonts w:ascii="宋体" w:hAnsi="宋体"/>
          <w:b/>
          <w:bCs/>
          <w:color w:val="auto"/>
          <w:sz w:val="28"/>
          <w:highlight w:val="none"/>
        </w:rPr>
        <w:t>.</w:t>
      </w:r>
      <w:r>
        <w:rPr>
          <w:rFonts w:hint="eastAsia" w:ascii="宋体" w:hAnsi="宋体"/>
          <w:b/>
          <w:bCs/>
          <w:color w:val="auto"/>
          <w:sz w:val="28"/>
          <w:highlight w:val="none"/>
          <w:lang w:val="en-US" w:eastAsia="zh-CN"/>
        </w:rPr>
        <w:t>采购</w:t>
      </w:r>
      <w:r>
        <w:rPr>
          <w:rFonts w:ascii="宋体" w:hAnsi="宋体"/>
          <w:b/>
          <w:bCs/>
          <w:color w:val="auto"/>
          <w:sz w:val="28"/>
          <w:highlight w:val="none"/>
        </w:rPr>
        <w:t>文件的修改：</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ascii="宋体" w:hAnsi="宋体"/>
          <w:b w:val="0"/>
          <w:bCs w:val="0"/>
          <w:color w:val="auto"/>
          <w:sz w:val="28"/>
          <w:szCs w:val="20"/>
          <w:highlight w:val="none"/>
        </w:rPr>
      </w:pPr>
      <w:r>
        <w:rPr>
          <w:rFonts w:hint="eastAsia" w:ascii="宋体" w:hAnsi="宋体"/>
          <w:b w:val="0"/>
          <w:bCs w:val="0"/>
          <w:color w:val="auto"/>
          <w:sz w:val="28"/>
          <w:highlight w:val="none"/>
          <w:lang w:val="en-US" w:eastAsia="zh-CN"/>
        </w:rPr>
        <w:t>13</w:t>
      </w:r>
      <w:r>
        <w:rPr>
          <w:rFonts w:ascii="宋体" w:hAnsi="宋体"/>
          <w:b w:val="0"/>
          <w:bCs w:val="0"/>
          <w:color w:val="auto"/>
          <w:sz w:val="28"/>
          <w:highlight w:val="none"/>
        </w:rPr>
        <w:t>.1在投标截止时间前，</w:t>
      </w:r>
      <w:r>
        <w:rPr>
          <w:rFonts w:hint="eastAsia" w:ascii="宋体" w:hAnsi="宋体"/>
          <w:b w:val="0"/>
          <w:bCs w:val="0"/>
          <w:color w:val="auto"/>
          <w:sz w:val="28"/>
          <w:highlight w:val="none"/>
          <w:lang w:val="en-US" w:eastAsia="zh-CN"/>
        </w:rPr>
        <w:t>采购</w:t>
      </w:r>
      <w:r>
        <w:rPr>
          <w:rFonts w:ascii="宋体" w:hAnsi="宋体"/>
          <w:b w:val="0"/>
          <w:bCs w:val="0"/>
          <w:color w:val="auto"/>
          <w:sz w:val="28"/>
          <w:highlight w:val="none"/>
        </w:rPr>
        <w:t>方无论</w:t>
      </w:r>
      <w:r>
        <w:rPr>
          <w:rFonts w:hint="eastAsia" w:ascii="宋体" w:hAnsi="宋体"/>
          <w:b w:val="0"/>
          <w:bCs w:val="0"/>
          <w:color w:val="auto"/>
          <w:sz w:val="28"/>
          <w:highlight w:val="none"/>
        </w:rPr>
        <w:t>出</w:t>
      </w:r>
      <w:r>
        <w:rPr>
          <w:rFonts w:ascii="宋体" w:hAnsi="宋体"/>
          <w:b w:val="0"/>
          <w:bCs w:val="0"/>
          <w:color w:val="auto"/>
          <w:sz w:val="28"/>
          <w:highlight w:val="none"/>
        </w:rPr>
        <w:t>于自己的考虑，还是出于对投标方提问的澄清，均可对</w:t>
      </w:r>
      <w:r>
        <w:rPr>
          <w:rFonts w:hint="eastAsia" w:ascii="宋体" w:hAnsi="宋体"/>
          <w:b w:val="0"/>
          <w:bCs w:val="0"/>
          <w:color w:val="auto"/>
          <w:sz w:val="28"/>
          <w:highlight w:val="none"/>
          <w:lang w:val="en-US" w:eastAsia="zh-CN"/>
        </w:rPr>
        <w:t>采购</w:t>
      </w:r>
      <w:r>
        <w:rPr>
          <w:rFonts w:ascii="宋体" w:hAnsi="宋体"/>
          <w:b w:val="0"/>
          <w:bCs w:val="0"/>
          <w:color w:val="auto"/>
          <w:sz w:val="28"/>
          <w:highlight w:val="none"/>
        </w:rPr>
        <w:t>文件用补充文件的方式进行修改。</w:t>
      </w:r>
    </w:p>
    <w:p>
      <w:pPr>
        <w:keepNext w:val="0"/>
        <w:keepLines w:val="0"/>
        <w:pageBreakBefore w:val="0"/>
        <w:widowControl w:val="0"/>
        <w:kinsoku/>
        <w:wordWrap/>
        <w:overflowPunct/>
        <w:topLinePunct w:val="0"/>
        <w:autoSpaceDE/>
        <w:autoSpaceDN/>
        <w:bidi w:val="0"/>
        <w:snapToGrid/>
        <w:spacing w:line="360" w:lineRule="auto"/>
        <w:ind w:firstLine="0" w:firstLineChars="0"/>
        <w:textAlignment w:val="auto"/>
        <w:rPr>
          <w:rFonts w:ascii="宋体" w:hAnsi="宋体"/>
          <w:b w:val="0"/>
          <w:bCs w:val="0"/>
          <w:color w:val="auto"/>
          <w:sz w:val="28"/>
          <w:szCs w:val="20"/>
          <w:highlight w:val="none"/>
        </w:rPr>
      </w:pPr>
      <w:r>
        <w:rPr>
          <w:rFonts w:hint="eastAsia" w:ascii="宋体" w:hAnsi="宋体"/>
          <w:b w:val="0"/>
          <w:bCs w:val="0"/>
          <w:color w:val="auto"/>
          <w:sz w:val="28"/>
          <w:highlight w:val="none"/>
          <w:lang w:val="en-US" w:eastAsia="zh-CN"/>
        </w:rPr>
        <w:t>13</w:t>
      </w:r>
      <w:r>
        <w:rPr>
          <w:rFonts w:ascii="宋体" w:hAnsi="宋体"/>
          <w:b w:val="0"/>
          <w:bCs w:val="0"/>
          <w:color w:val="auto"/>
          <w:sz w:val="28"/>
          <w:highlight w:val="none"/>
        </w:rPr>
        <w:t>.2对招标文件的修改，将</w:t>
      </w:r>
      <w:r>
        <w:rPr>
          <w:rFonts w:hint="eastAsia" w:ascii="宋体" w:hAnsi="宋体"/>
          <w:b w:val="0"/>
          <w:bCs w:val="0"/>
          <w:color w:val="auto"/>
          <w:sz w:val="28"/>
          <w:highlight w:val="none"/>
          <w:lang w:val="en-US" w:eastAsia="zh-CN"/>
        </w:rPr>
        <w:t>通过中车购2.0平台</w:t>
      </w:r>
      <w:r>
        <w:rPr>
          <w:rFonts w:ascii="宋体" w:hAnsi="宋体"/>
          <w:b w:val="0"/>
          <w:bCs w:val="0"/>
          <w:color w:val="auto"/>
          <w:sz w:val="28"/>
          <w:highlight w:val="none"/>
        </w:rPr>
        <w:t>以书面形式，在有效时间内通知到所有购买</w:t>
      </w:r>
      <w:r>
        <w:rPr>
          <w:rFonts w:hint="eastAsia" w:ascii="宋体" w:hAnsi="宋体"/>
          <w:b w:val="0"/>
          <w:bCs w:val="0"/>
          <w:color w:val="auto"/>
          <w:sz w:val="28"/>
          <w:highlight w:val="none"/>
          <w:lang w:val="en-US" w:eastAsia="zh-CN"/>
        </w:rPr>
        <w:t>采购</w:t>
      </w:r>
      <w:r>
        <w:rPr>
          <w:rFonts w:ascii="宋体" w:hAnsi="宋体"/>
          <w:b w:val="0"/>
          <w:bCs w:val="0"/>
          <w:color w:val="auto"/>
          <w:sz w:val="28"/>
          <w:highlight w:val="none"/>
        </w:rPr>
        <w:t>文件者。</w:t>
      </w:r>
    </w:p>
    <w:p>
      <w:pPr>
        <w:keepNext w:val="0"/>
        <w:keepLines w:val="0"/>
        <w:pageBreakBefore w:val="0"/>
        <w:widowControl w:val="0"/>
        <w:kinsoku/>
        <w:wordWrap/>
        <w:overflowPunct/>
        <w:topLinePunct w:val="0"/>
        <w:bidi w:val="0"/>
        <w:spacing w:line="360" w:lineRule="auto"/>
        <w:textAlignment w:val="auto"/>
        <w:rPr>
          <w:rFonts w:ascii="宋体" w:hAnsi="宋体"/>
          <w:b/>
          <w:bCs/>
          <w:color w:val="auto"/>
          <w:sz w:val="28"/>
          <w:szCs w:val="20"/>
          <w:highlight w:val="none"/>
        </w:rPr>
      </w:pPr>
      <w:r>
        <w:rPr>
          <w:rFonts w:hint="eastAsia" w:ascii="宋体" w:hAnsi="宋体"/>
          <w:b/>
          <w:bCs/>
          <w:color w:val="auto"/>
          <w:sz w:val="28"/>
          <w:highlight w:val="none"/>
          <w:lang w:val="en-US" w:eastAsia="zh-CN"/>
        </w:rPr>
        <w:t>14</w:t>
      </w:r>
      <w:r>
        <w:rPr>
          <w:rFonts w:ascii="宋体" w:hAnsi="宋体"/>
          <w:b/>
          <w:bCs/>
          <w:color w:val="auto"/>
          <w:sz w:val="28"/>
          <w:highlight w:val="none"/>
        </w:rPr>
        <w:t>.投标文件的组成：</w:t>
      </w:r>
    </w:p>
    <w:p>
      <w:pPr>
        <w:keepNext w:val="0"/>
        <w:keepLines w:val="0"/>
        <w:pageBreakBefore w:val="0"/>
        <w:widowControl w:val="0"/>
        <w:kinsoku/>
        <w:wordWrap/>
        <w:overflowPunct/>
        <w:topLinePunct w:val="0"/>
        <w:bidi w:val="0"/>
        <w:spacing w:line="360" w:lineRule="auto"/>
        <w:textAlignment w:val="auto"/>
        <w:rPr>
          <w:rFonts w:ascii="宋体" w:hAnsi="宋体"/>
          <w:b w:val="0"/>
          <w:bCs w:val="0"/>
          <w:color w:val="auto"/>
          <w:sz w:val="28"/>
          <w:szCs w:val="20"/>
          <w:highlight w:val="yellow"/>
        </w:rPr>
      </w:pPr>
      <w:r>
        <w:rPr>
          <w:rFonts w:hint="eastAsia" w:ascii="宋体" w:hAnsi="宋体"/>
          <w:b w:val="0"/>
          <w:bCs w:val="0"/>
          <w:color w:val="auto"/>
          <w:sz w:val="28"/>
          <w:highlight w:val="yellow"/>
          <w:lang w:val="en-US" w:eastAsia="zh-CN"/>
        </w:rPr>
        <w:t>14</w:t>
      </w:r>
      <w:r>
        <w:rPr>
          <w:rFonts w:ascii="宋体" w:hAnsi="宋体"/>
          <w:b w:val="0"/>
          <w:bCs w:val="0"/>
          <w:color w:val="auto"/>
          <w:sz w:val="28"/>
          <w:highlight w:val="yellow"/>
        </w:rPr>
        <w:t>.1投标文件</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b w:val="0"/>
          <w:bCs w:val="0"/>
          <w:color w:val="auto"/>
          <w:sz w:val="28"/>
          <w:szCs w:val="20"/>
          <w:highlight w:val="yellow"/>
          <w:lang w:eastAsia="zh-CN"/>
        </w:rPr>
      </w:pPr>
      <w:r>
        <w:rPr>
          <w:rFonts w:hint="eastAsia"/>
          <w:b w:val="0"/>
          <w:bCs w:val="0"/>
          <w:color w:val="auto"/>
          <w:sz w:val="28"/>
          <w:szCs w:val="20"/>
          <w:highlight w:val="yellow"/>
          <w:lang w:eastAsia="zh-CN"/>
        </w:rPr>
        <w:t>投标文件应包括下列内容并按下列文件排序，见招标文件格式要求。</w:t>
      </w:r>
    </w:p>
    <w:p>
      <w:pPr>
        <w:keepNext w:val="0"/>
        <w:keepLines w:val="0"/>
        <w:pageBreakBefore w:val="0"/>
        <w:widowControl w:val="0"/>
        <w:kinsoku/>
        <w:wordWrap/>
        <w:overflowPunct/>
        <w:topLinePunct w:val="0"/>
        <w:bidi w:val="0"/>
        <w:spacing w:line="360" w:lineRule="auto"/>
        <w:textAlignment w:val="auto"/>
        <w:rPr>
          <w:rFonts w:ascii="宋体" w:hAnsi="宋体"/>
          <w:b/>
          <w:bCs/>
          <w:color w:val="auto"/>
          <w:sz w:val="28"/>
          <w:szCs w:val="20"/>
          <w:highlight w:val="none"/>
        </w:rPr>
      </w:pPr>
      <w:r>
        <w:rPr>
          <w:rFonts w:hint="eastAsia" w:ascii="宋体" w:hAnsi="宋体"/>
          <w:b/>
          <w:bCs/>
          <w:color w:val="auto"/>
          <w:sz w:val="28"/>
          <w:highlight w:val="none"/>
          <w:lang w:val="en-US" w:eastAsia="zh-CN"/>
        </w:rPr>
        <w:t>15</w:t>
      </w:r>
      <w:r>
        <w:rPr>
          <w:rFonts w:ascii="宋体" w:hAnsi="宋体"/>
          <w:b/>
          <w:bCs/>
          <w:color w:val="auto"/>
          <w:sz w:val="28"/>
          <w:highlight w:val="none"/>
        </w:rPr>
        <w:t>.投标报价：</w:t>
      </w:r>
    </w:p>
    <w:p>
      <w:pPr>
        <w:keepNext w:val="0"/>
        <w:keepLines w:val="0"/>
        <w:pageBreakBefore w:val="0"/>
        <w:widowControl w:val="0"/>
        <w:kinsoku/>
        <w:wordWrap/>
        <w:overflowPunct/>
        <w:topLinePunct w:val="0"/>
        <w:bidi w:val="0"/>
        <w:spacing w:line="360" w:lineRule="auto"/>
        <w:ind w:firstLine="560" w:firstLineChars="200"/>
        <w:textAlignment w:val="auto"/>
        <w:outlineLvl w:val="0"/>
        <w:rPr>
          <w:rFonts w:hint="eastAsia" w:ascii="宋体" w:hAnsi="宋体" w:eastAsia="宋体"/>
          <w:b w:val="0"/>
          <w:bCs w:val="0"/>
          <w:color w:val="auto"/>
          <w:sz w:val="28"/>
          <w:highlight w:val="none"/>
          <w:lang w:eastAsia="zh-CN"/>
        </w:rPr>
      </w:pPr>
      <w:r>
        <w:rPr>
          <w:rFonts w:ascii="宋体" w:hAnsi="宋体"/>
          <w:b w:val="0"/>
          <w:bCs w:val="0"/>
          <w:color w:val="auto"/>
          <w:sz w:val="28"/>
          <w:highlight w:val="none"/>
        </w:rPr>
        <w:t>投标方按</w:t>
      </w:r>
      <w:r>
        <w:rPr>
          <w:rFonts w:hint="eastAsia" w:ascii="宋体" w:hAnsi="宋体"/>
          <w:b w:val="0"/>
          <w:bCs w:val="0"/>
          <w:color w:val="auto"/>
          <w:sz w:val="28"/>
          <w:highlight w:val="none"/>
        </w:rPr>
        <w:t>照</w:t>
      </w:r>
      <w:r>
        <w:rPr>
          <w:rFonts w:ascii="宋体" w:hAnsi="宋体"/>
          <w:b w:val="0"/>
          <w:bCs w:val="0"/>
          <w:color w:val="auto"/>
          <w:sz w:val="28"/>
          <w:highlight w:val="none"/>
        </w:rPr>
        <w:t>投标</w:t>
      </w:r>
      <w:r>
        <w:rPr>
          <w:rFonts w:hint="eastAsia" w:ascii="宋体" w:hAnsi="宋体"/>
          <w:b w:val="0"/>
          <w:bCs w:val="0"/>
          <w:color w:val="auto"/>
          <w:sz w:val="28"/>
          <w:highlight w:val="none"/>
        </w:rPr>
        <w:t>报价</w:t>
      </w:r>
      <w:r>
        <w:rPr>
          <w:rFonts w:ascii="宋体" w:hAnsi="宋体"/>
          <w:b w:val="0"/>
          <w:bCs w:val="0"/>
          <w:color w:val="auto"/>
          <w:sz w:val="28"/>
          <w:highlight w:val="none"/>
        </w:rPr>
        <w:t>表的</w:t>
      </w:r>
      <w:r>
        <w:rPr>
          <w:rFonts w:hint="eastAsia" w:ascii="宋体" w:hAnsi="宋体"/>
          <w:b w:val="0"/>
          <w:bCs w:val="0"/>
          <w:color w:val="auto"/>
          <w:sz w:val="28"/>
          <w:highlight w:val="none"/>
        </w:rPr>
        <w:t>要求</w:t>
      </w:r>
      <w:r>
        <w:rPr>
          <w:rFonts w:ascii="宋体" w:hAnsi="宋体"/>
          <w:b w:val="0"/>
          <w:bCs w:val="0"/>
          <w:color w:val="auto"/>
          <w:sz w:val="28"/>
          <w:highlight w:val="none"/>
        </w:rPr>
        <w:t>填写</w:t>
      </w:r>
      <w:r>
        <w:rPr>
          <w:rFonts w:hint="eastAsia" w:ascii="宋体" w:hAnsi="宋体"/>
          <w:b w:val="0"/>
          <w:bCs w:val="0"/>
          <w:color w:val="auto"/>
          <w:sz w:val="28"/>
          <w:highlight w:val="none"/>
        </w:rPr>
        <w:t>相关内容，</w:t>
      </w:r>
      <w:r>
        <w:rPr>
          <w:rFonts w:ascii="宋体" w:hAnsi="宋体"/>
          <w:b w:val="0"/>
          <w:bCs w:val="0"/>
          <w:color w:val="auto"/>
          <w:sz w:val="28"/>
          <w:highlight w:val="none"/>
        </w:rPr>
        <w:t>并由法定代表人或</w:t>
      </w:r>
      <w:r>
        <w:rPr>
          <w:rFonts w:hint="eastAsia" w:ascii="宋体" w:hAnsi="宋体"/>
          <w:b w:val="0"/>
          <w:bCs w:val="0"/>
          <w:color w:val="auto"/>
          <w:sz w:val="28"/>
          <w:highlight w:val="none"/>
        </w:rPr>
        <w:t>被授权代表</w:t>
      </w:r>
      <w:r>
        <w:rPr>
          <w:rFonts w:ascii="宋体" w:hAnsi="宋体"/>
          <w:b w:val="0"/>
          <w:bCs w:val="0"/>
          <w:color w:val="auto"/>
          <w:sz w:val="28"/>
          <w:highlight w:val="none"/>
        </w:rPr>
        <w:t>签署。</w:t>
      </w:r>
      <w:r>
        <w:rPr>
          <w:rFonts w:hint="eastAsia" w:ascii="宋体" w:hAnsi="宋体"/>
          <w:b w:val="0"/>
          <w:bCs w:val="0"/>
          <w:color w:val="auto"/>
          <w:sz w:val="28"/>
          <w:highlight w:val="none"/>
        </w:rPr>
        <w:t>本次</w:t>
      </w:r>
      <w:r>
        <w:rPr>
          <w:rFonts w:hint="eastAsia" w:ascii="宋体"/>
          <w:b w:val="0"/>
          <w:bCs w:val="0"/>
          <w:color w:val="auto"/>
          <w:sz w:val="28"/>
          <w:highlight w:val="none"/>
        </w:rPr>
        <w:t>采购价格设定为</w:t>
      </w:r>
      <w:r>
        <w:rPr>
          <w:rFonts w:hint="eastAsia" w:ascii="宋体"/>
          <w:b w:val="0"/>
          <w:bCs w:val="0"/>
          <w:color w:val="auto"/>
          <w:sz w:val="28"/>
          <w:szCs w:val="22"/>
          <w:highlight w:val="none"/>
        </w:rPr>
        <w:t>含税到厂价</w:t>
      </w:r>
      <w:r>
        <w:rPr>
          <w:rFonts w:hint="eastAsia" w:ascii="宋体"/>
          <w:b w:val="0"/>
          <w:bCs w:val="0"/>
          <w:color w:val="auto"/>
          <w:sz w:val="28"/>
          <w:szCs w:val="22"/>
          <w:highlight w:val="none"/>
          <w:lang w:eastAsia="zh-CN"/>
        </w:rPr>
        <w:t>，投标方如因税率问题给</w:t>
      </w:r>
      <w:r>
        <w:rPr>
          <w:rFonts w:hint="eastAsia" w:ascii="宋体"/>
          <w:b w:val="0"/>
          <w:bCs w:val="0"/>
          <w:color w:val="auto"/>
          <w:sz w:val="28"/>
          <w:szCs w:val="22"/>
          <w:highlight w:val="none"/>
          <w:lang w:val="en-US" w:eastAsia="zh-CN"/>
        </w:rPr>
        <w:t>采购</w:t>
      </w:r>
      <w:r>
        <w:rPr>
          <w:rFonts w:hint="eastAsia" w:ascii="宋体"/>
          <w:b w:val="0"/>
          <w:bCs w:val="0"/>
          <w:color w:val="auto"/>
          <w:sz w:val="28"/>
          <w:szCs w:val="22"/>
          <w:highlight w:val="none"/>
          <w:lang w:eastAsia="zh-CN"/>
        </w:rPr>
        <w:t>方带来风险和损失，由投标方自行承担。</w:t>
      </w:r>
    </w:p>
    <w:p>
      <w:pPr>
        <w:keepNext w:val="0"/>
        <w:keepLines w:val="0"/>
        <w:pageBreakBefore w:val="0"/>
        <w:widowControl w:val="0"/>
        <w:kinsoku/>
        <w:wordWrap/>
        <w:overflowPunct/>
        <w:topLinePunct w:val="0"/>
        <w:bidi w:val="0"/>
        <w:spacing w:line="360" w:lineRule="auto"/>
        <w:textAlignment w:val="auto"/>
        <w:rPr>
          <w:rFonts w:hint="eastAsia" w:ascii="宋体" w:hAnsi="宋体"/>
          <w:b/>
          <w:bCs/>
          <w:color w:val="auto"/>
          <w:sz w:val="28"/>
          <w:highlight w:val="none"/>
        </w:rPr>
      </w:pPr>
      <w:r>
        <w:rPr>
          <w:rFonts w:hint="eastAsia" w:ascii="宋体" w:hAnsi="宋体"/>
          <w:b/>
          <w:bCs/>
          <w:color w:val="auto"/>
          <w:sz w:val="28"/>
          <w:highlight w:val="none"/>
          <w:lang w:val="en-US" w:eastAsia="zh-CN"/>
        </w:rPr>
        <w:t>16</w:t>
      </w:r>
      <w:r>
        <w:rPr>
          <w:rFonts w:ascii="宋体" w:hAnsi="宋体"/>
          <w:b/>
          <w:bCs/>
          <w:color w:val="auto"/>
          <w:sz w:val="28"/>
          <w:highlight w:val="none"/>
        </w:rPr>
        <w:t>.投标文件的有效期：</w:t>
      </w:r>
    </w:p>
    <w:p>
      <w:pPr>
        <w:keepNext w:val="0"/>
        <w:keepLines w:val="0"/>
        <w:pageBreakBefore w:val="0"/>
        <w:widowControl w:val="0"/>
        <w:kinsoku/>
        <w:wordWrap/>
        <w:overflowPunct/>
        <w:topLinePunct w:val="0"/>
        <w:bidi w:val="0"/>
        <w:spacing w:line="360" w:lineRule="auto"/>
        <w:ind w:firstLine="560" w:firstLineChars="200"/>
        <w:textAlignment w:val="auto"/>
        <w:rPr>
          <w:rFonts w:ascii="宋体" w:hAnsi="宋体"/>
          <w:b w:val="0"/>
          <w:bCs w:val="0"/>
          <w:color w:val="auto"/>
          <w:sz w:val="28"/>
          <w:szCs w:val="20"/>
          <w:highlight w:val="yellow"/>
        </w:rPr>
      </w:pPr>
      <w:r>
        <w:rPr>
          <w:rFonts w:ascii="宋体" w:hAnsi="宋体"/>
          <w:b w:val="0"/>
          <w:bCs w:val="0"/>
          <w:color w:val="auto"/>
          <w:sz w:val="28"/>
          <w:highlight w:val="none"/>
        </w:rPr>
        <w:t>投标文件自开标之日起</w:t>
      </w:r>
      <w:r>
        <w:rPr>
          <w:rFonts w:hint="eastAsia" w:ascii="宋体" w:hAnsi="宋体"/>
          <w:b w:val="0"/>
          <w:bCs w:val="0"/>
          <w:color w:val="auto"/>
          <w:sz w:val="28"/>
          <w:highlight w:val="none"/>
          <w:lang w:val="en-US" w:eastAsia="zh-CN"/>
        </w:rPr>
        <w:t>90</w:t>
      </w:r>
      <w:r>
        <w:rPr>
          <w:rFonts w:ascii="宋体" w:hAnsi="宋体"/>
          <w:b w:val="0"/>
          <w:bCs w:val="0"/>
          <w:color w:val="auto"/>
          <w:sz w:val="28"/>
          <w:highlight w:val="none"/>
        </w:rPr>
        <w:t>天内有效。如果中标，从开标直至合同执行完毕止，本</w:t>
      </w:r>
      <w:r>
        <w:rPr>
          <w:rFonts w:hint="eastAsia" w:ascii="宋体" w:hAnsi="宋体"/>
          <w:b w:val="0"/>
          <w:bCs w:val="0"/>
          <w:color w:val="auto"/>
          <w:sz w:val="28"/>
          <w:highlight w:val="none"/>
          <w:lang w:val="en-US" w:eastAsia="zh-CN"/>
        </w:rPr>
        <w:t>采购（招标）</w:t>
      </w:r>
      <w:r>
        <w:rPr>
          <w:rFonts w:ascii="宋体" w:hAnsi="宋体"/>
          <w:b w:val="0"/>
          <w:bCs w:val="0"/>
          <w:color w:val="auto"/>
          <w:sz w:val="28"/>
          <w:highlight w:val="none"/>
        </w:rPr>
        <w:t>书有效。</w:t>
      </w:r>
      <w:r>
        <w:rPr>
          <w:rFonts w:hint="eastAsia" w:ascii="宋体" w:hAnsi="宋体"/>
          <w:b w:val="0"/>
          <w:bCs w:val="0"/>
          <w:color w:val="auto"/>
          <w:sz w:val="28"/>
          <w:highlight w:val="none"/>
        </w:rPr>
        <w:t>在投标有效期内，投标人撤销投标文件的，应承担招标文件和法律规定的责任。出现特殊情况需要延长投标有效期的，招标人通过电子采购平台通知所有投标人延长投标有效期。投标人应通过电子采购平台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pPr>
        <w:keepNext w:val="0"/>
        <w:keepLines w:val="0"/>
        <w:pageBreakBefore w:val="0"/>
        <w:widowControl w:val="0"/>
        <w:kinsoku/>
        <w:wordWrap/>
        <w:overflowPunct/>
        <w:topLinePunct w:val="0"/>
        <w:bidi w:val="0"/>
        <w:spacing w:line="360" w:lineRule="auto"/>
        <w:textAlignment w:val="auto"/>
        <w:rPr>
          <w:rFonts w:ascii="宋体" w:hAnsi="宋体"/>
          <w:b/>
          <w:bCs/>
          <w:color w:val="auto"/>
          <w:sz w:val="28"/>
          <w:szCs w:val="20"/>
          <w:highlight w:val="none"/>
        </w:rPr>
      </w:pPr>
      <w:r>
        <w:rPr>
          <w:rFonts w:hint="eastAsia" w:ascii="宋体" w:hAnsi="宋体"/>
          <w:b/>
          <w:bCs/>
          <w:color w:val="auto"/>
          <w:sz w:val="28"/>
          <w:highlight w:val="none"/>
          <w:lang w:val="en-US" w:eastAsia="zh-CN"/>
        </w:rPr>
        <w:t>17</w:t>
      </w:r>
      <w:r>
        <w:rPr>
          <w:rFonts w:ascii="宋体" w:hAnsi="宋体"/>
          <w:b/>
          <w:bCs/>
          <w:color w:val="auto"/>
          <w:sz w:val="28"/>
          <w:highlight w:val="none"/>
        </w:rPr>
        <w:t>.文件的签署及其规定：</w:t>
      </w:r>
    </w:p>
    <w:p>
      <w:pPr>
        <w:keepNext w:val="0"/>
        <w:keepLines w:val="0"/>
        <w:pageBreakBefore w:val="0"/>
        <w:widowControl w:val="0"/>
        <w:kinsoku/>
        <w:wordWrap/>
        <w:overflowPunct/>
        <w:topLinePunct w:val="0"/>
        <w:bidi w:val="0"/>
        <w:spacing w:line="360" w:lineRule="auto"/>
        <w:textAlignment w:val="auto"/>
        <w:rPr>
          <w:rFonts w:ascii="宋体" w:hAnsi="宋体"/>
          <w:color w:val="auto"/>
          <w:sz w:val="28"/>
          <w:szCs w:val="20"/>
          <w:highlight w:val="none"/>
        </w:rPr>
      </w:pPr>
      <w:r>
        <w:rPr>
          <w:rFonts w:hint="eastAsia" w:ascii="宋体" w:hAnsi="宋体"/>
          <w:color w:val="auto"/>
          <w:sz w:val="28"/>
          <w:highlight w:val="none"/>
          <w:lang w:val="en-US" w:eastAsia="zh-CN"/>
        </w:rPr>
        <w:t>17</w:t>
      </w:r>
      <w:r>
        <w:rPr>
          <w:rFonts w:ascii="宋体" w:hAnsi="宋体"/>
          <w:color w:val="auto"/>
          <w:sz w:val="28"/>
          <w:highlight w:val="none"/>
        </w:rPr>
        <w:t>.1投标方应填写单位全称、地址、电传、电话、邮政编码，加盖印章。</w:t>
      </w:r>
    </w:p>
    <w:p>
      <w:pPr>
        <w:keepNext w:val="0"/>
        <w:keepLines w:val="0"/>
        <w:pageBreakBefore w:val="0"/>
        <w:widowControl w:val="0"/>
        <w:kinsoku/>
        <w:wordWrap/>
        <w:overflowPunct/>
        <w:topLinePunct w:val="0"/>
        <w:bidi w:val="0"/>
        <w:spacing w:line="360" w:lineRule="auto"/>
        <w:textAlignment w:val="auto"/>
        <w:rPr>
          <w:rFonts w:ascii="宋体" w:hAnsi="宋体"/>
          <w:color w:val="auto"/>
          <w:sz w:val="28"/>
          <w:szCs w:val="20"/>
          <w:highlight w:val="none"/>
        </w:rPr>
      </w:pPr>
      <w:r>
        <w:rPr>
          <w:rFonts w:ascii="宋体" w:hAnsi="宋体"/>
          <w:color w:val="auto"/>
          <w:sz w:val="28"/>
          <w:highlight w:val="none"/>
        </w:rPr>
        <w:t>1</w:t>
      </w:r>
      <w:r>
        <w:rPr>
          <w:rFonts w:hint="eastAsia" w:ascii="宋体" w:hAnsi="宋体"/>
          <w:color w:val="auto"/>
          <w:sz w:val="28"/>
          <w:highlight w:val="none"/>
          <w:lang w:val="en-US" w:eastAsia="zh-CN"/>
        </w:rPr>
        <w:t>7</w:t>
      </w:r>
      <w:r>
        <w:rPr>
          <w:rFonts w:ascii="宋体" w:hAnsi="宋体"/>
          <w:color w:val="auto"/>
          <w:sz w:val="28"/>
          <w:highlight w:val="none"/>
        </w:rPr>
        <w:t>.2投标文件必须由法定代表人或委托代理人签署。</w:t>
      </w:r>
    </w:p>
    <w:p>
      <w:pPr>
        <w:keepNext w:val="0"/>
        <w:keepLines w:val="0"/>
        <w:pageBreakBefore w:val="0"/>
        <w:widowControl w:val="0"/>
        <w:kinsoku/>
        <w:wordWrap/>
        <w:overflowPunct/>
        <w:topLinePunct w:val="0"/>
        <w:bidi w:val="0"/>
        <w:spacing w:line="360" w:lineRule="auto"/>
        <w:textAlignment w:val="auto"/>
        <w:rPr>
          <w:rFonts w:ascii="宋体" w:hAnsi="宋体"/>
          <w:b/>
          <w:bCs/>
          <w:color w:val="auto"/>
          <w:sz w:val="28"/>
          <w:szCs w:val="20"/>
          <w:highlight w:val="none"/>
        </w:rPr>
      </w:pPr>
      <w:r>
        <w:rPr>
          <w:rFonts w:ascii="宋体" w:hAnsi="宋体"/>
          <w:b/>
          <w:bCs/>
          <w:color w:val="auto"/>
          <w:sz w:val="28"/>
          <w:highlight w:val="none"/>
        </w:rPr>
        <w:t>1</w:t>
      </w:r>
      <w:r>
        <w:rPr>
          <w:rFonts w:hint="eastAsia" w:ascii="宋体" w:hAnsi="宋体"/>
          <w:b/>
          <w:bCs/>
          <w:color w:val="auto"/>
          <w:sz w:val="28"/>
          <w:highlight w:val="none"/>
          <w:lang w:val="en-US" w:eastAsia="zh-CN"/>
        </w:rPr>
        <w:t>8</w:t>
      </w:r>
      <w:r>
        <w:rPr>
          <w:rFonts w:ascii="宋体" w:hAnsi="宋体"/>
          <w:b/>
          <w:bCs/>
          <w:color w:val="auto"/>
          <w:sz w:val="28"/>
          <w:highlight w:val="none"/>
        </w:rPr>
        <w:t>.投标文件的递交:</w:t>
      </w:r>
    </w:p>
    <w:p>
      <w:pPr>
        <w:keepNext w:val="0"/>
        <w:keepLines w:val="0"/>
        <w:pageBreakBefore w:val="0"/>
        <w:widowControl w:val="0"/>
        <w:kinsoku/>
        <w:wordWrap/>
        <w:overflowPunct/>
        <w:topLinePunct w:val="0"/>
        <w:bidi w:val="0"/>
        <w:spacing w:line="360" w:lineRule="auto"/>
        <w:textAlignment w:val="auto"/>
        <w:rPr>
          <w:rFonts w:hint="default" w:ascii="宋体" w:hAnsi="宋体" w:eastAsia="宋体"/>
          <w:color w:val="auto"/>
          <w:sz w:val="28"/>
          <w:highlight w:val="yellow"/>
          <w:lang w:val="en-US" w:eastAsia="zh-CN"/>
        </w:rPr>
      </w:pPr>
      <w:r>
        <w:rPr>
          <w:rFonts w:ascii="宋体" w:hAnsi="宋体"/>
          <w:color w:val="auto"/>
          <w:sz w:val="28"/>
          <w:highlight w:val="none"/>
        </w:rPr>
        <w:t>1</w:t>
      </w:r>
      <w:r>
        <w:rPr>
          <w:rFonts w:hint="eastAsia" w:ascii="宋体" w:hAnsi="宋体"/>
          <w:color w:val="auto"/>
          <w:sz w:val="28"/>
          <w:highlight w:val="none"/>
          <w:lang w:val="en-US" w:eastAsia="zh-CN"/>
        </w:rPr>
        <w:t>8</w:t>
      </w:r>
      <w:r>
        <w:rPr>
          <w:rFonts w:ascii="宋体" w:hAnsi="宋体"/>
          <w:color w:val="auto"/>
          <w:sz w:val="28"/>
          <w:highlight w:val="none"/>
        </w:rPr>
        <w:t>.</w:t>
      </w:r>
      <w:r>
        <w:rPr>
          <w:rFonts w:hint="eastAsia" w:ascii="宋体" w:hAnsi="宋体"/>
          <w:color w:val="auto"/>
          <w:sz w:val="28"/>
          <w:highlight w:val="none"/>
        </w:rPr>
        <w:t>1递交截止时间：</w:t>
      </w:r>
      <w:r>
        <w:rPr>
          <w:rFonts w:hint="eastAsia" w:ascii="宋体" w:hAnsi="宋体"/>
          <w:color w:val="auto"/>
          <w:sz w:val="28"/>
          <w:highlight w:val="none"/>
          <w:lang w:val="en-US" w:eastAsia="zh-CN"/>
        </w:rPr>
        <w:t>见采购公告</w:t>
      </w:r>
    </w:p>
    <w:p>
      <w:pPr>
        <w:keepNext w:val="0"/>
        <w:keepLines w:val="0"/>
        <w:pageBreakBefore w:val="0"/>
        <w:widowControl w:val="0"/>
        <w:kinsoku/>
        <w:wordWrap/>
        <w:overflowPunct/>
        <w:topLinePunct w:val="0"/>
        <w:bidi w:val="0"/>
        <w:spacing w:line="360" w:lineRule="auto"/>
        <w:textAlignment w:val="auto"/>
        <w:rPr>
          <w:rFonts w:hint="default" w:ascii="宋体" w:hAnsi="宋体" w:eastAsia="宋体"/>
          <w:color w:val="auto"/>
          <w:sz w:val="28"/>
          <w:highlight w:val="none"/>
          <w:lang w:val="en-US" w:eastAsia="zh-CN"/>
        </w:rPr>
      </w:pPr>
      <w:r>
        <w:rPr>
          <w:rFonts w:ascii="宋体" w:hAnsi="宋体"/>
          <w:color w:val="auto"/>
          <w:sz w:val="28"/>
          <w:highlight w:val="none"/>
        </w:rPr>
        <w:t>1</w:t>
      </w:r>
      <w:r>
        <w:rPr>
          <w:rFonts w:hint="eastAsia" w:ascii="宋体" w:hAnsi="宋体"/>
          <w:color w:val="auto"/>
          <w:sz w:val="28"/>
          <w:highlight w:val="none"/>
          <w:lang w:val="en-US" w:eastAsia="zh-CN"/>
        </w:rPr>
        <w:t>8</w:t>
      </w:r>
      <w:r>
        <w:rPr>
          <w:rFonts w:ascii="宋体" w:hAnsi="宋体"/>
          <w:color w:val="auto"/>
          <w:sz w:val="28"/>
          <w:highlight w:val="none"/>
        </w:rPr>
        <w:t>.</w:t>
      </w:r>
      <w:r>
        <w:rPr>
          <w:rFonts w:hint="eastAsia" w:ascii="宋体" w:hAnsi="宋体"/>
          <w:color w:val="auto"/>
          <w:sz w:val="28"/>
          <w:highlight w:val="none"/>
          <w:lang w:val="en-US" w:eastAsia="zh-CN"/>
        </w:rPr>
        <w:t>2</w:t>
      </w:r>
      <w:r>
        <w:rPr>
          <w:rFonts w:hint="eastAsia" w:ascii="宋体" w:hAnsi="宋体"/>
          <w:color w:val="auto"/>
          <w:sz w:val="28"/>
          <w:highlight w:val="none"/>
        </w:rPr>
        <w:t>递交方式：</w:t>
      </w:r>
      <w:r>
        <w:rPr>
          <w:rFonts w:hint="eastAsia" w:ascii="宋体" w:hAnsi="宋体"/>
          <w:color w:val="auto"/>
          <w:sz w:val="28"/>
          <w:highlight w:val="none"/>
          <w:lang w:val="en-US" w:eastAsia="zh-CN"/>
        </w:rPr>
        <w:t>见采购公告</w:t>
      </w:r>
    </w:p>
    <w:p>
      <w:pPr>
        <w:keepNext w:val="0"/>
        <w:keepLines w:val="0"/>
        <w:pageBreakBefore w:val="0"/>
        <w:widowControl w:val="0"/>
        <w:kinsoku/>
        <w:wordWrap/>
        <w:overflowPunct/>
        <w:topLinePunct w:val="0"/>
        <w:bidi w:val="0"/>
        <w:spacing w:line="360" w:lineRule="auto"/>
        <w:textAlignment w:val="auto"/>
        <w:rPr>
          <w:rFonts w:hint="eastAsia" w:ascii="宋体" w:hAnsi="宋体"/>
          <w:color w:val="auto"/>
          <w:sz w:val="28"/>
          <w:highlight w:val="none"/>
          <w:lang w:val="en-US" w:eastAsia="zh-CN"/>
        </w:rPr>
      </w:pPr>
      <w:r>
        <w:rPr>
          <w:rFonts w:ascii="宋体" w:hAnsi="宋体"/>
          <w:color w:val="auto"/>
          <w:sz w:val="28"/>
          <w:highlight w:val="yellow"/>
        </w:rPr>
        <w:t>1</w:t>
      </w:r>
      <w:r>
        <w:rPr>
          <w:rFonts w:hint="eastAsia" w:ascii="宋体" w:hAnsi="宋体"/>
          <w:color w:val="auto"/>
          <w:sz w:val="28"/>
          <w:highlight w:val="yellow"/>
          <w:lang w:val="en-US" w:eastAsia="zh-CN"/>
        </w:rPr>
        <w:t>8</w:t>
      </w:r>
      <w:r>
        <w:rPr>
          <w:rFonts w:ascii="宋体" w:hAnsi="宋体"/>
          <w:color w:val="auto"/>
          <w:sz w:val="28"/>
          <w:highlight w:val="yellow"/>
        </w:rPr>
        <w:t>.</w:t>
      </w:r>
      <w:r>
        <w:rPr>
          <w:rFonts w:hint="eastAsia" w:ascii="宋体" w:hAnsi="宋体"/>
          <w:color w:val="auto"/>
          <w:sz w:val="28"/>
          <w:highlight w:val="yellow"/>
        </w:rPr>
        <w:t>3招标书每套</w:t>
      </w:r>
      <w:r>
        <w:rPr>
          <w:rFonts w:hint="eastAsia" w:ascii="宋体" w:hAnsi="宋体"/>
          <w:color w:val="auto"/>
          <w:sz w:val="28"/>
          <w:highlight w:val="yellow"/>
          <w:lang w:val="en-US" w:eastAsia="zh-CN"/>
        </w:rPr>
        <w:t>100</w:t>
      </w:r>
      <w:r>
        <w:rPr>
          <w:rFonts w:hint="eastAsia" w:ascii="宋体" w:hAnsi="宋体"/>
          <w:color w:val="auto"/>
          <w:sz w:val="28"/>
          <w:highlight w:val="yellow"/>
        </w:rPr>
        <w:t>元人民币</w:t>
      </w:r>
      <w:r>
        <w:rPr>
          <w:rFonts w:hint="eastAsia" w:ascii="宋体" w:hAnsi="宋体"/>
          <w:color w:val="auto"/>
          <w:sz w:val="28"/>
          <w:highlight w:val="none"/>
        </w:rPr>
        <w:t>，</w:t>
      </w:r>
      <w:r>
        <w:rPr>
          <w:rFonts w:hint="eastAsia" w:ascii="宋体" w:hAnsi="宋体"/>
          <w:color w:val="auto"/>
          <w:sz w:val="28"/>
          <w:highlight w:val="none"/>
          <w:lang w:val="en-US" w:eastAsia="zh-CN"/>
        </w:rPr>
        <w:t>见采购公告</w:t>
      </w:r>
      <w:r>
        <w:rPr>
          <w:rFonts w:hint="eastAsia" w:ascii="宋体" w:hAnsi="宋体"/>
          <w:color w:val="auto"/>
          <w:sz w:val="28"/>
          <w:highlight w:val="none"/>
          <w:lang w:eastAsia="zh-CN"/>
        </w:rPr>
        <w:t>。</w:t>
      </w:r>
      <w:r>
        <w:rPr>
          <w:rFonts w:hint="eastAsia" w:ascii="宋体" w:hAnsi="宋体"/>
          <w:color w:val="auto"/>
          <w:sz w:val="28"/>
          <w:highlight w:val="none"/>
          <w:lang w:val="en-US" w:eastAsia="zh-CN"/>
        </w:rPr>
        <w:t>（标书费按招标号分别缴纳）</w:t>
      </w:r>
    </w:p>
    <w:p>
      <w:pPr>
        <w:keepNext w:val="0"/>
        <w:keepLines w:val="0"/>
        <w:pageBreakBefore w:val="0"/>
        <w:widowControl w:val="0"/>
        <w:kinsoku/>
        <w:wordWrap/>
        <w:overflowPunct/>
        <w:topLinePunct w:val="0"/>
        <w:bidi w:val="0"/>
        <w:spacing w:line="360" w:lineRule="auto"/>
        <w:textAlignment w:val="auto"/>
        <w:rPr>
          <w:rFonts w:hint="eastAsia" w:ascii="宋体" w:hAnsi="宋体"/>
          <w:color w:val="auto"/>
          <w:sz w:val="28"/>
          <w:highlight w:val="yellow"/>
          <w:lang w:val="en-US" w:eastAsia="zh-CN"/>
        </w:rPr>
      </w:pPr>
      <w:r>
        <w:rPr>
          <w:rFonts w:ascii="宋体" w:hAnsi="宋体"/>
          <w:color w:val="auto"/>
          <w:sz w:val="28"/>
          <w:highlight w:val="yellow"/>
        </w:rPr>
        <w:t>1</w:t>
      </w:r>
      <w:r>
        <w:rPr>
          <w:rFonts w:hint="eastAsia" w:ascii="宋体" w:hAnsi="宋体"/>
          <w:color w:val="auto"/>
          <w:sz w:val="28"/>
          <w:highlight w:val="yellow"/>
          <w:lang w:val="en-US" w:eastAsia="zh-CN"/>
        </w:rPr>
        <w:t>8</w:t>
      </w:r>
      <w:r>
        <w:rPr>
          <w:rFonts w:ascii="宋体" w:hAnsi="宋体"/>
          <w:color w:val="auto"/>
          <w:sz w:val="28"/>
          <w:highlight w:val="yellow"/>
        </w:rPr>
        <w:t>.</w:t>
      </w:r>
      <w:r>
        <w:rPr>
          <w:rFonts w:hint="eastAsia" w:ascii="宋体" w:hAnsi="宋体"/>
          <w:color w:val="auto"/>
          <w:sz w:val="28"/>
          <w:highlight w:val="yellow"/>
        </w:rPr>
        <w:t>4</w:t>
      </w:r>
      <w:r>
        <w:rPr>
          <w:rFonts w:hint="eastAsia" w:ascii="宋体" w:hAnsi="宋体"/>
          <w:color w:val="auto"/>
          <w:sz w:val="28"/>
          <w:highlight w:val="yellow"/>
          <w:lang w:val="en-US" w:eastAsia="zh-CN"/>
        </w:rPr>
        <w:t xml:space="preserve"> </w:t>
      </w:r>
      <w:r>
        <w:rPr>
          <w:rFonts w:hint="eastAsia" w:ascii="宋体" w:hAnsi="宋体"/>
          <w:color w:val="auto"/>
          <w:sz w:val="28"/>
          <w:highlight w:val="yellow"/>
        </w:rPr>
        <w:t>投标保证金</w:t>
      </w:r>
      <w:r>
        <w:rPr>
          <w:rFonts w:hint="eastAsia" w:ascii="宋体" w:hAnsi="宋体"/>
          <w:color w:val="auto"/>
          <w:sz w:val="28"/>
          <w:highlight w:val="yellow"/>
          <w:lang w:val="en-US" w:eastAsia="zh-CN"/>
        </w:rPr>
        <w:t>5</w:t>
      </w:r>
      <w:r>
        <w:rPr>
          <w:rFonts w:hint="eastAsia" w:ascii="宋体" w:hAnsi="宋体"/>
          <w:color w:val="auto"/>
          <w:sz w:val="28"/>
          <w:highlight w:val="yellow"/>
          <w:lang w:val="zh-CN"/>
        </w:rPr>
        <w:t>0000</w:t>
      </w:r>
      <w:r>
        <w:rPr>
          <w:rFonts w:hint="eastAsia" w:ascii="宋体" w:hAnsi="宋体"/>
          <w:color w:val="auto"/>
          <w:sz w:val="28"/>
          <w:highlight w:val="yellow"/>
          <w:lang w:val="en-US" w:eastAsia="zh-CN"/>
        </w:rPr>
        <w:t>元</w:t>
      </w:r>
      <w:r>
        <w:rPr>
          <w:rFonts w:hint="eastAsia" w:ascii="宋体" w:hAnsi="宋体"/>
          <w:color w:val="auto"/>
          <w:sz w:val="28"/>
          <w:highlight w:val="yellow"/>
          <w:lang w:val="zh-CN"/>
        </w:rPr>
        <w:t>（</w:t>
      </w:r>
      <w:r>
        <w:rPr>
          <w:rFonts w:hint="eastAsia" w:ascii="宋体" w:hAnsi="宋体"/>
          <w:color w:val="auto"/>
          <w:sz w:val="28"/>
          <w:highlight w:val="yellow"/>
          <w:lang w:val="en-US" w:eastAsia="zh-CN"/>
        </w:rPr>
        <w:t>伍</w:t>
      </w:r>
      <w:r>
        <w:rPr>
          <w:rFonts w:hint="eastAsia" w:ascii="宋体" w:hAnsi="宋体"/>
          <w:color w:val="auto"/>
          <w:sz w:val="28"/>
          <w:highlight w:val="yellow"/>
          <w:lang w:val="zh-CN"/>
        </w:rPr>
        <w:t>万元整）</w:t>
      </w:r>
      <w:r>
        <w:rPr>
          <w:rFonts w:hint="eastAsia" w:ascii="宋体" w:hAnsi="宋体"/>
          <w:color w:val="auto"/>
          <w:sz w:val="28"/>
          <w:highlight w:val="yellow"/>
        </w:rPr>
        <w:t>，</w:t>
      </w:r>
      <w:r>
        <w:rPr>
          <w:rFonts w:hint="eastAsia" w:ascii="宋体" w:hAnsi="宋体"/>
          <w:color w:val="auto"/>
          <w:sz w:val="28"/>
          <w:highlight w:val="yellow"/>
          <w:lang w:val="en-US" w:eastAsia="zh-CN"/>
        </w:rPr>
        <w:t>见采购公告</w:t>
      </w:r>
    </w:p>
    <w:p>
      <w:pPr>
        <w:keepNext w:val="0"/>
        <w:keepLines w:val="0"/>
        <w:pageBreakBefore w:val="0"/>
        <w:widowControl w:val="0"/>
        <w:kinsoku/>
        <w:wordWrap/>
        <w:overflowPunct/>
        <w:topLinePunct w:val="0"/>
        <w:bidi w:val="0"/>
        <w:snapToGrid/>
        <w:spacing w:line="360" w:lineRule="auto"/>
        <w:textAlignment w:val="auto"/>
        <w:rPr>
          <w:rFonts w:ascii="宋体" w:hAnsi="宋体"/>
          <w:b/>
          <w:bCs/>
          <w:color w:val="auto"/>
          <w:sz w:val="28"/>
          <w:szCs w:val="28"/>
          <w:highlight w:val="none"/>
        </w:rPr>
      </w:pPr>
      <w:r>
        <w:rPr>
          <w:rFonts w:ascii="宋体" w:hAnsi="宋体"/>
          <w:b/>
          <w:bCs/>
          <w:color w:val="auto"/>
          <w:sz w:val="28"/>
          <w:szCs w:val="28"/>
          <w:highlight w:val="none"/>
        </w:rPr>
        <w:t>1</w:t>
      </w:r>
      <w:r>
        <w:rPr>
          <w:rFonts w:hint="eastAsia" w:ascii="宋体" w:hAnsi="宋体"/>
          <w:b/>
          <w:bCs/>
          <w:color w:val="auto"/>
          <w:sz w:val="28"/>
          <w:szCs w:val="28"/>
          <w:highlight w:val="none"/>
          <w:lang w:val="en-US" w:eastAsia="zh-CN"/>
        </w:rPr>
        <w:t>9</w:t>
      </w:r>
      <w:r>
        <w:rPr>
          <w:rFonts w:ascii="宋体" w:hAnsi="宋体"/>
          <w:b/>
          <w:bCs/>
          <w:color w:val="auto"/>
          <w:sz w:val="28"/>
          <w:szCs w:val="28"/>
          <w:highlight w:val="none"/>
        </w:rPr>
        <w:t>.投标截止日期：</w:t>
      </w:r>
    </w:p>
    <w:p>
      <w:pPr>
        <w:keepNext w:val="0"/>
        <w:keepLines w:val="0"/>
        <w:pageBreakBefore w:val="0"/>
        <w:widowControl w:val="0"/>
        <w:kinsoku/>
        <w:wordWrap/>
        <w:overflowPunct/>
        <w:topLinePunct w:val="0"/>
        <w:bidi w:val="0"/>
        <w:snapToGrid/>
        <w:spacing w:line="360" w:lineRule="auto"/>
        <w:ind w:firstLine="560" w:firstLineChars="200"/>
        <w:textAlignment w:val="auto"/>
        <w:rPr>
          <w:rFonts w:ascii="宋体" w:hAnsi="宋体"/>
          <w:color w:val="auto"/>
          <w:sz w:val="28"/>
          <w:szCs w:val="28"/>
          <w:highlight w:val="none"/>
        </w:rPr>
      </w:pPr>
      <w:r>
        <w:rPr>
          <w:rFonts w:ascii="宋体" w:hAnsi="宋体"/>
          <w:color w:val="auto"/>
          <w:sz w:val="28"/>
          <w:szCs w:val="28"/>
          <w:highlight w:val="none"/>
        </w:rPr>
        <w:t>1</w:t>
      </w:r>
      <w:r>
        <w:rPr>
          <w:rFonts w:hint="eastAsia" w:ascii="宋体" w:hAnsi="宋体"/>
          <w:color w:val="auto"/>
          <w:sz w:val="28"/>
          <w:szCs w:val="28"/>
          <w:highlight w:val="none"/>
          <w:lang w:val="en-US" w:eastAsia="zh-CN"/>
        </w:rPr>
        <w:t>9</w:t>
      </w:r>
      <w:r>
        <w:rPr>
          <w:rFonts w:ascii="宋体" w:hAnsi="宋体"/>
          <w:color w:val="auto"/>
          <w:sz w:val="28"/>
          <w:szCs w:val="28"/>
          <w:highlight w:val="none"/>
        </w:rPr>
        <w:t>.1</w:t>
      </w:r>
      <w:r>
        <w:rPr>
          <w:rFonts w:hint="eastAsia" w:ascii="宋体" w:hAnsi="宋体"/>
          <w:color w:val="auto"/>
          <w:sz w:val="28"/>
          <w:szCs w:val="28"/>
          <w:highlight w:val="none"/>
          <w:lang w:val="en-US" w:eastAsia="zh-CN"/>
        </w:rPr>
        <w:t xml:space="preserve"> 见采购公告</w:t>
      </w:r>
      <w:r>
        <w:rPr>
          <w:rFonts w:ascii="宋体" w:hAnsi="宋体"/>
          <w:color w:val="auto"/>
          <w:sz w:val="28"/>
          <w:szCs w:val="28"/>
          <w:highlight w:val="none"/>
        </w:rPr>
        <w:t>。</w:t>
      </w:r>
    </w:p>
    <w:p>
      <w:pPr>
        <w:keepNext w:val="0"/>
        <w:keepLines w:val="0"/>
        <w:pageBreakBefore w:val="0"/>
        <w:widowControl w:val="0"/>
        <w:kinsoku/>
        <w:wordWrap/>
        <w:overflowPunct/>
        <w:topLinePunct w:val="0"/>
        <w:bidi w:val="0"/>
        <w:snapToGrid/>
        <w:spacing w:line="360" w:lineRule="auto"/>
        <w:textAlignment w:val="auto"/>
        <w:rPr>
          <w:rFonts w:ascii="宋体" w:hAnsi="宋体"/>
          <w:b/>
          <w:bCs/>
          <w:color w:val="auto"/>
          <w:sz w:val="28"/>
          <w:szCs w:val="28"/>
          <w:highlight w:val="none"/>
        </w:rPr>
      </w:pPr>
      <w:r>
        <w:rPr>
          <w:rFonts w:hint="eastAsia" w:ascii="宋体" w:hAnsi="宋体"/>
          <w:b/>
          <w:bCs/>
          <w:color w:val="auto"/>
          <w:sz w:val="28"/>
          <w:szCs w:val="28"/>
          <w:highlight w:val="none"/>
          <w:lang w:val="en-US" w:eastAsia="zh-CN"/>
        </w:rPr>
        <w:t>20</w:t>
      </w:r>
      <w:r>
        <w:rPr>
          <w:rFonts w:ascii="宋体" w:hAnsi="宋体"/>
          <w:b/>
          <w:bCs/>
          <w:color w:val="auto"/>
          <w:sz w:val="28"/>
          <w:szCs w:val="28"/>
          <w:highlight w:val="none"/>
        </w:rPr>
        <w:t>.投标文件的修改和撤回：</w:t>
      </w:r>
    </w:p>
    <w:p>
      <w:pPr>
        <w:keepNext w:val="0"/>
        <w:keepLines w:val="0"/>
        <w:pageBreakBefore w:val="0"/>
        <w:widowControl w:val="0"/>
        <w:kinsoku/>
        <w:wordWrap/>
        <w:overflowPunct/>
        <w:topLinePunct w:val="0"/>
        <w:bidi w:val="0"/>
        <w:snapToGrid/>
        <w:spacing w:line="360" w:lineRule="auto"/>
        <w:textAlignment w:val="auto"/>
        <w:rPr>
          <w:rFonts w:ascii="宋体" w:hAnsi="宋体"/>
          <w:color w:val="auto"/>
          <w:sz w:val="28"/>
          <w:szCs w:val="20"/>
          <w:highlight w:val="none"/>
        </w:rPr>
      </w:pPr>
      <w:r>
        <w:rPr>
          <w:rFonts w:hint="eastAsia" w:ascii="宋体" w:hAnsi="宋体"/>
          <w:color w:val="auto"/>
          <w:sz w:val="28"/>
          <w:highlight w:val="none"/>
          <w:lang w:val="en-US" w:eastAsia="zh-CN"/>
        </w:rPr>
        <w:t>20</w:t>
      </w:r>
      <w:r>
        <w:rPr>
          <w:rFonts w:ascii="宋体" w:hAnsi="宋体"/>
          <w:color w:val="auto"/>
          <w:sz w:val="28"/>
          <w:highlight w:val="none"/>
        </w:rPr>
        <w:t>.1投标以后，如果投标方提出书面修改和撤标要求，在投标截止时间前</w:t>
      </w:r>
      <w:r>
        <w:rPr>
          <w:rFonts w:hint="eastAsia" w:ascii="宋体" w:hAnsi="宋体"/>
          <w:color w:val="auto"/>
          <w:sz w:val="28"/>
          <w:highlight w:val="none"/>
          <w:lang w:val="en-US" w:eastAsia="zh-CN"/>
        </w:rPr>
        <w:t>联系采购</w:t>
      </w:r>
      <w:r>
        <w:rPr>
          <w:rFonts w:ascii="宋体" w:hAnsi="宋体"/>
          <w:color w:val="auto"/>
          <w:sz w:val="28"/>
          <w:highlight w:val="none"/>
        </w:rPr>
        <w:t>方者，</w:t>
      </w:r>
      <w:r>
        <w:rPr>
          <w:rFonts w:hint="eastAsia" w:ascii="宋体" w:hAnsi="宋体"/>
          <w:color w:val="auto"/>
          <w:sz w:val="28"/>
          <w:highlight w:val="none"/>
          <w:lang w:val="en-US" w:eastAsia="zh-CN"/>
        </w:rPr>
        <w:t>采购</w:t>
      </w:r>
      <w:r>
        <w:rPr>
          <w:rFonts w:ascii="宋体" w:hAnsi="宋体"/>
          <w:color w:val="auto"/>
          <w:sz w:val="28"/>
          <w:highlight w:val="none"/>
        </w:rPr>
        <w:t>方可以接受，但是不退还投标文件。</w:t>
      </w:r>
    </w:p>
    <w:p>
      <w:pPr>
        <w:keepNext w:val="0"/>
        <w:keepLines w:val="0"/>
        <w:pageBreakBefore w:val="0"/>
        <w:widowControl w:val="0"/>
        <w:kinsoku/>
        <w:wordWrap/>
        <w:overflowPunct/>
        <w:topLinePunct w:val="0"/>
        <w:bidi w:val="0"/>
        <w:spacing w:line="360" w:lineRule="auto"/>
        <w:textAlignment w:val="auto"/>
        <w:rPr>
          <w:rFonts w:ascii="宋体" w:hAnsi="宋体"/>
          <w:b w:val="0"/>
          <w:bCs w:val="0"/>
          <w:color w:val="auto"/>
          <w:sz w:val="28"/>
          <w:szCs w:val="20"/>
          <w:highlight w:val="none"/>
        </w:rPr>
      </w:pPr>
      <w:r>
        <w:rPr>
          <w:rFonts w:hint="eastAsia" w:ascii="宋体" w:hAnsi="宋体"/>
          <w:b w:val="0"/>
          <w:bCs w:val="0"/>
          <w:color w:val="auto"/>
          <w:sz w:val="28"/>
          <w:highlight w:val="none"/>
          <w:lang w:val="en-US" w:eastAsia="zh-CN"/>
        </w:rPr>
        <w:t>20</w:t>
      </w:r>
      <w:r>
        <w:rPr>
          <w:rFonts w:ascii="宋体" w:hAnsi="宋体"/>
          <w:b w:val="0"/>
          <w:bCs w:val="0"/>
          <w:color w:val="auto"/>
          <w:sz w:val="28"/>
          <w:highlight w:val="none"/>
        </w:rPr>
        <w:t>.2投标方修改投标文件的书面材料，须</w:t>
      </w:r>
      <w:r>
        <w:rPr>
          <w:rFonts w:hint="eastAsia" w:ascii="宋体" w:hAnsi="宋体"/>
          <w:b w:val="0"/>
          <w:bCs w:val="0"/>
          <w:color w:val="auto"/>
          <w:sz w:val="28"/>
          <w:highlight w:val="none"/>
          <w:lang w:val="en-US" w:eastAsia="zh-CN"/>
        </w:rPr>
        <w:t>电子采购平台要求进行</w:t>
      </w:r>
      <w:r>
        <w:rPr>
          <w:rFonts w:ascii="宋体" w:hAnsi="宋体"/>
          <w:b w:val="0"/>
          <w:bCs w:val="0"/>
          <w:color w:val="auto"/>
          <w:sz w:val="28"/>
          <w:highlight w:val="none"/>
        </w:rPr>
        <w:t>。</w:t>
      </w:r>
    </w:p>
    <w:p>
      <w:pPr>
        <w:keepNext w:val="0"/>
        <w:keepLines w:val="0"/>
        <w:pageBreakBefore w:val="0"/>
        <w:widowControl w:val="0"/>
        <w:kinsoku/>
        <w:wordWrap/>
        <w:overflowPunct/>
        <w:topLinePunct w:val="0"/>
        <w:bidi w:val="0"/>
        <w:spacing w:line="360" w:lineRule="auto"/>
        <w:textAlignment w:val="auto"/>
        <w:rPr>
          <w:rFonts w:ascii="宋体" w:hAnsi="宋体"/>
          <w:b/>
          <w:bCs/>
          <w:color w:val="auto"/>
          <w:sz w:val="28"/>
          <w:szCs w:val="20"/>
          <w:highlight w:val="none"/>
        </w:rPr>
      </w:pPr>
      <w:r>
        <w:rPr>
          <w:rFonts w:hint="eastAsia" w:ascii="宋体" w:hAnsi="宋体"/>
          <w:b/>
          <w:bCs/>
          <w:color w:val="auto"/>
          <w:sz w:val="28"/>
          <w:highlight w:val="none"/>
          <w:lang w:val="en-US" w:eastAsia="zh-CN"/>
        </w:rPr>
        <w:t>21</w:t>
      </w:r>
      <w:r>
        <w:rPr>
          <w:rFonts w:ascii="宋体" w:hAnsi="宋体"/>
          <w:b/>
          <w:bCs/>
          <w:color w:val="auto"/>
          <w:sz w:val="28"/>
          <w:highlight w:val="none"/>
        </w:rPr>
        <w:t>.投标的澄清：</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宋体" w:hAnsi="宋体"/>
          <w:b w:val="0"/>
          <w:bCs w:val="0"/>
          <w:color w:val="auto"/>
          <w:sz w:val="28"/>
          <w:highlight w:val="none"/>
        </w:rPr>
      </w:pPr>
      <w:r>
        <w:rPr>
          <w:rFonts w:hint="eastAsia" w:ascii="宋体" w:hAnsi="宋体"/>
          <w:b w:val="0"/>
          <w:bCs w:val="0"/>
          <w:color w:val="auto"/>
          <w:sz w:val="28"/>
          <w:highlight w:val="none"/>
          <w:lang w:val="en-US" w:eastAsia="zh-CN"/>
        </w:rPr>
        <w:t>采购</w:t>
      </w:r>
      <w:r>
        <w:rPr>
          <w:rFonts w:hint="eastAsia" w:ascii="宋体" w:hAnsi="宋体"/>
          <w:b w:val="0"/>
          <w:bCs w:val="0"/>
          <w:color w:val="auto"/>
          <w:sz w:val="28"/>
          <w:highlight w:val="none"/>
        </w:rPr>
        <w:t>方有权就投标文件中的含糊不清之处，向投标方提出咨询或澄清事实的要求，投标方必须按照招标方通知的时间、地点</w:t>
      </w:r>
      <w:r>
        <w:rPr>
          <w:rFonts w:hint="eastAsia" w:ascii="宋体" w:hAnsi="宋体"/>
          <w:b w:val="0"/>
          <w:bCs w:val="0"/>
          <w:color w:val="auto"/>
          <w:sz w:val="28"/>
          <w:highlight w:val="none"/>
          <w:lang w:eastAsia="zh-CN"/>
        </w:rPr>
        <w:t>、</w:t>
      </w:r>
      <w:r>
        <w:rPr>
          <w:rFonts w:hint="eastAsia" w:ascii="宋体" w:hAnsi="宋体"/>
          <w:b w:val="0"/>
          <w:bCs w:val="0"/>
          <w:color w:val="auto"/>
          <w:sz w:val="28"/>
          <w:highlight w:val="none"/>
          <w:lang w:val="en-US" w:eastAsia="zh-CN"/>
        </w:rPr>
        <w:t>方式</w:t>
      </w:r>
      <w:r>
        <w:rPr>
          <w:rFonts w:hint="eastAsia" w:ascii="宋体" w:hAnsi="宋体"/>
          <w:b w:val="0"/>
          <w:bCs w:val="0"/>
          <w:color w:val="auto"/>
          <w:sz w:val="28"/>
          <w:highlight w:val="none"/>
        </w:rPr>
        <w:t>进行答疑和澄清，</w:t>
      </w:r>
      <w:r>
        <w:rPr>
          <w:rFonts w:hint="eastAsia" w:ascii="宋体" w:hAnsi="宋体"/>
          <w:b w:val="0"/>
          <w:bCs w:val="0"/>
          <w:color w:val="auto"/>
          <w:sz w:val="28"/>
          <w:highlight w:val="none"/>
          <w:lang w:val="en-US" w:eastAsia="zh-CN"/>
        </w:rPr>
        <w:t>采购</w:t>
      </w:r>
      <w:r>
        <w:rPr>
          <w:rFonts w:hint="eastAsia" w:ascii="宋体" w:hAnsi="宋体"/>
          <w:b w:val="0"/>
          <w:bCs w:val="0"/>
          <w:color w:val="auto"/>
          <w:sz w:val="28"/>
          <w:highlight w:val="none"/>
        </w:rPr>
        <w:t>方做好相关记录。</w:t>
      </w:r>
    </w:p>
    <w:p>
      <w:pPr>
        <w:keepNext w:val="0"/>
        <w:keepLines w:val="0"/>
        <w:pageBreakBefore w:val="0"/>
        <w:widowControl w:val="0"/>
        <w:numPr>
          <w:ilvl w:val="0"/>
          <w:numId w:val="0"/>
        </w:numPr>
        <w:kinsoku/>
        <w:wordWrap/>
        <w:overflowPunct/>
        <w:topLinePunct w:val="0"/>
        <w:bidi w:val="0"/>
        <w:spacing w:line="360" w:lineRule="auto"/>
        <w:textAlignment w:val="auto"/>
        <w:rPr>
          <w:rFonts w:hint="eastAsia" w:ascii="宋体" w:hAnsi="宋体"/>
          <w:b/>
          <w:bCs/>
          <w:color w:val="auto"/>
          <w:sz w:val="28"/>
          <w:highlight w:val="none"/>
          <w:lang w:eastAsia="zh-CN"/>
        </w:rPr>
      </w:pPr>
      <w:r>
        <w:rPr>
          <w:rFonts w:hint="eastAsia" w:ascii="宋体" w:hAnsi="宋体"/>
          <w:b/>
          <w:bCs/>
          <w:color w:val="auto"/>
          <w:sz w:val="28"/>
          <w:highlight w:val="none"/>
          <w:lang w:val="en-US" w:eastAsia="zh-CN"/>
        </w:rPr>
        <w:t>22.</w:t>
      </w:r>
      <w:r>
        <w:rPr>
          <w:rFonts w:ascii="宋体" w:hAnsi="宋体"/>
          <w:b/>
          <w:bCs/>
          <w:color w:val="auto"/>
          <w:sz w:val="28"/>
          <w:highlight w:val="none"/>
        </w:rPr>
        <w:t>评标</w:t>
      </w:r>
      <w:r>
        <w:rPr>
          <w:rFonts w:hint="eastAsia" w:ascii="宋体" w:hAnsi="宋体"/>
          <w:b/>
          <w:bCs/>
          <w:color w:val="auto"/>
          <w:sz w:val="28"/>
          <w:highlight w:val="none"/>
          <w:lang w:eastAsia="zh-CN"/>
        </w:rPr>
        <w:t>及中标：</w:t>
      </w:r>
    </w:p>
    <w:p>
      <w:pPr>
        <w:keepNext w:val="0"/>
        <w:keepLines w:val="0"/>
        <w:pageBreakBefore w:val="0"/>
        <w:widowControl w:val="0"/>
        <w:kinsoku/>
        <w:wordWrap/>
        <w:overflowPunct/>
        <w:topLinePunct w:val="0"/>
        <w:bidi w:val="0"/>
        <w:spacing w:line="360" w:lineRule="auto"/>
        <w:textAlignment w:val="auto"/>
        <w:rPr>
          <w:rFonts w:hint="eastAsia" w:ascii="宋体" w:hAnsi="宋体"/>
          <w:b w:val="0"/>
          <w:bCs w:val="0"/>
          <w:color w:val="auto"/>
          <w:sz w:val="28"/>
          <w:szCs w:val="22"/>
          <w:highlight w:val="none"/>
        </w:rPr>
      </w:pPr>
      <w:r>
        <w:rPr>
          <w:rFonts w:hint="eastAsia" w:ascii="宋体" w:hAnsi="宋体"/>
          <w:b w:val="0"/>
          <w:bCs w:val="0"/>
          <w:color w:val="auto"/>
          <w:sz w:val="28"/>
          <w:szCs w:val="22"/>
          <w:highlight w:val="none"/>
          <w:lang w:val="en-US" w:eastAsia="zh-CN"/>
        </w:rPr>
        <w:t>22.1</w:t>
      </w:r>
      <w:r>
        <w:rPr>
          <w:rFonts w:hint="eastAsia" w:ascii="宋体" w:hAnsi="宋体"/>
          <w:b w:val="0"/>
          <w:bCs w:val="0"/>
          <w:color w:val="auto"/>
          <w:sz w:val="28"/>
          <w:szCs w:val="22"/>
          <w:highlight w:val="none"/>
        </w:rPr>
        <w:t>本次</w:t>
      </w:r>
      <w:r>
        <w:rPr>
          <w:rFonts w:hint="eastAsia" w:ascii="宋体" w:hAnsi="宋体"/>
          <w:b w:val="0"/>
          <w:bCs w:val="0"/>
          <w:color w:val="auto"/>
          <w:sz w:val="28"/>
          <w:szCs w:val="22"/>
          <w:highlight w:val="none"/>
          <w:lang w:eastAsia="zh-CN"/>
        </w:rPr>
        <w:t>评标采用</w:t>
      </w:r>
      <w:r>
        <w:rPr>
          <w:rFonts w:hint="eastAsia" w:ascii="宋体" w:hAnsi="宋体"/>
          <w:b w:val="0"/>
          <w:bCs w:val="0"/>
          <w:color w:val="auto"/>
          <w:sz w:val="28"/>
          <w:szCs w:val="22"/>
          <w:highlight w:val="yellow"/>
          <w:u w:val="single"/>
          <w:lang w:eastAsia="zh-CN"/>
        </w:rPr>
        <w:t>综合评分法</w:t>
      </w:r>
      <w:r>
        <w:rPr>
          <w:rFonts w:hint="eastAsia" w:ascii="宋体" w:hAnsi="宋体"/>
          <w:b w:val="0"/>
          <w:bCs w:val="0"/>
          <w:color w:val="auto"/>
          <w:sz w:val="28"/>
          <w:szCs w:val="22"/>
          <w:highlight w:val="yellow"/>
          <w:lang w:eastAsia="zh-CN"/>
        </w:rPr>
        <w:t>。</w:t>
      </w:r>
    </w:p>
    <w:p>
      <w:pPr>
        <w:keepNext w:val="0"/>
        <w:keepLines w:val="0"/>
        <w:pageBreakBefore w:val="0"/>
        <w:widowControl w:val="0"/>
        <w:kinsoku/>
        <w:wordWrap/>
        <w:overflowPunct/>
        <w:topLinePunct w:val="0"/>
        <w:bidi w:val="0"/>
        <w:spacing w:line="360" w:lineRule="auto"/>
        <w:textAlignment w:val="auto"/>
        <w:rPr>
          <w:rFonts w:hint="eastAsia" w:ascii="宋体" w:hAnsi="宋体"/>
          <w:b w:val="0"/>
          <w:bCs w:val="0"/>
          <w:color w:val="auto"/>
          <w:sz w:val="28"/>
          <w:szCs w:val="22"/>
          <w:highlight w:val="none"/>
          <w:lang w:val="en-US" w:eastAsia="zh-CN"/>
        </w:rPr>
      </w:pPr>
      <w:r>
        <w:rPr>
          <w:rFonts w:hint="eastAsia" w:ascii="宋体" w:hAnsi="宋体"/>
          <w:b w:val="0"/>
          <w:bCs w:val="0"/>
          <w:color w:val="auto"/>
          <w:sz w:val="28"/>
          <w:szCs w:val="22"/>
          <w:highlight w:val="none"/>
          <w:lang w:val="en-US" w:eastAsia="zh-CN"/>
        </w:rPr>
        <w:t>22.2</w:t>
      </w:r>
      <w:r>
        <w:rPr>
          <w:rFonts w:hint="eastAsia" w:ascii="宋体"/>
          <w:b w:val="0"/>
          <w:bCs w:val="0"/>
          <w:color w:val="auto"/>
          <w:sz w:val="28"/>
          <w:szCs w:val="28"/>
          <w:highlight w:val="none"/>
          <w:lang w:val="zh-CN"/>
        </w:rPr>
        <w:t>当该标投标方少于三家时，</w:t>
      </w:r>
      <w:r>
        <w:rPr>
          <w:rFonts w:hint="eastAsia" w:ascii="宋体"/>
          <w:b w:val="0"/>
          <w:bCs w:val="0"/>
          <w:color w:val="auto"/>
          <w:sz w:val="28"/>
          <w:szCs w:val="28"/>
          <w:highlight w:val="none"/>
          <w:lang w:val="en-US" w:eastAsia="zh-CN"/>
        </w:rPr>
        <w:t>采购</w:t>
      </w:r>
      <w:r>
        <w:rPr>
          <w:rFonts w:hint="eastAsia" w:ascii="宋体"/>
          <w:b w:val="0"/>
          <w:bCs w:val="0"/>
          <w:color w:val="auto"/>
          <w:sz w:val="28"/>
          <w:szCs w:val="28"/>
          <w:highlight w:val="none"/>
          <w:lang w:val="zh-CN"/>
        </w:rPr>
        <w:t>方有权结束本次</w:t>
      </w:r>
      <w:r>
        <w:rPr>
          <w:rFonts w:hint="eastAsia" w:ascii="宋体"/>
          <w:b w:val="0"/>
          <w:bCs w:val="0"/>
          <w:color w:val="auto"/>
          <w:sz w:val="28"/>
          <w:szCs w:val="28"/>
          <w:highlight w:val="none"/>
          <w:lang w:val="en-US" w:eastAsia="zh-CN"/>
        </w:rPr>
        <w:t>采购（</w:t>
      </w:r>
      <w:r>
        <w:rPr>
          <w:rFonts w:hint="eastAsia" w:ascii="宋体"/>
          <w:b w:val="0"/>
          <w:bCs w:val="0"/>
          <w:color w:val="auto"/>
          <w:sz w:val="28"/>
          <w:szCs w:val="28"/>
          <w:highlight w:val="none"/>
          <w:lang w:val="zh-CN"/>
        </w:rPr>
        <w:t>招标</w:t>
      </w:r>
      <w:r>
        <w:rPr>
          <w:rFonts w:hint="eastAsia" w:ascii="宋体"/>
          <w:b w:val="0"/>
          <w:bCs w:val="0"/>
          <w:color w:val="auto"/>
          <w:sz w:val="28"/>
          <w:szCs w:val="28"/>
          <w:highlight w:val="none"/>
          <w:lang w:val="en-US" w:eastAsia="zh-CN"/>
        </w:rPr>
        <w:t>)</w:t>
      </w:r>
      <w:r>
        <w:rPr>
          <w:rFonts w:hint="eastAsia" w:ascii="宋体"/>
          <w:b w:val="0"/>
          <w:bCs w:val="0"/>
          <w:color w:val="auto"/>
          <w:sz w:val="28"/>
          <w:szCs w:val="28"/>
          <w:highlight w:val="none"/>
          <w:lang w:val="zh-CN"/>
        </w:rPr>
        <w:t>重新</w:t>
      </w:r>
      <w:r>
        <w:rPr>
          <w:rFonts w:hint="eastAsia" w:ascii="宋体"/>
          <w:b w:val="0"/>
          <w:bCs w:val="0"/>
          <w:color w:val="auto"/>
          <w:sz w:val="28"/>
          <w:szCs w:val="28"/>
          <w:highlight w:val="none"/>
          <w:lang w:val="en-US" w:eastAsia="zh-CN"/>
        </w:rPr>
        <w:t>采购</w:t>
      </w:r>
      <w:r>
        <w:rPr>
          <w:rFonts w:hint="eastAsia" w:ascii="宋体"/>
          <w:b w:val="0"/>
          <w:bCs w:val="0"/>
          <w:color w:val="auto"/>
          <w:sz w:val="28"/>
          <w:szCs w:val="28"/>
          <w:highlight w:val="none"/>
          <w:lang w:val="zh-CN"/>
        </w:rPr>
        <w:t>或</w:t>
      </w:r>
      <w:r>
        <w:rPr>
          <w:rFonts w:hint="eastAsia" w:ascii="宋体"/>
          <w:b w:val="0"/>
          <w:bCs w:val="0"/>
          <w:color w:val="auto"/>
          <w:sz w:val="28"/>
          <w:szCs w:val="28"/>
          <w:highlight w:val="none"/>
          <w:lang w:val="en-US" w:eastAsia="zh-CN"/>
        </w:rPr>
        <w:t>转变采购方式</w:t>
      </w:r>
      <w:r>
        <w:rPr>
          <w:rFonts w:hint="eastAsia" w:ascii="宋体"/>
          <w:b w:val="0"/>
          <w:bCs w:val="0"/>
          <w:color w:val="auto"/>
          <w:sz w:val="28"/>
          <w:szCs w:val="28"/>
          <w:highlight w:val="none"/>
          <w:lang w:val="zh-CN"/>
        </w:rPr>
        <w:t>。</w:t>
      </w:r>
    </w:p>
    <w:p>
      <w:pPr>
        <w:keepNext w:val="0"/>
        <w:keepLines w:val="0"/>
        <w:pageBreakBefore w:val="0"/>
        <w:widowControl w:val="0"/>
        <w:kinsoku/>
        <w:wordWrap/>
        <w:overflowPunct/>
        <w:topLinePunct w:val="0"/>
        <w:bidi w:val="0"/>
        <w:spacing w:line="360" w:lineRule="auto"/>
        <w:textAlignment w:val="auto"/>
        <w:rPr>
          <w:rFonts w:hint="eastAsia" w:ascii="宋体" w:hAnsi="宋体"/>
          <w:b/>
          <w:bCs/>
          <w:color w:val="auto"/>
          <w:sz w:val="28"/>
          <w:szCs w:val="22"/>
          <w:highlight w:val="yellow"/>
          <w:lang w:val="en-US" w:eastAsia="zh-CN"/>
        </w:rPr>
      </w:pPr>
      <w:r>
        <w:rPr>
          <w:rFonts w:hint="eastAsia" w:ascii="宋体" w:hAnsi="宋体"/>
          <w:b w:val="0"/>
          <w:bCs w:val="0"/>
          <w:color w:val="auto"/>
          <w:sz w:val="28"/>
          <w:szCs w:val="22"/>
          <w:highlight w:val="none"/>
          <w:lang w:val="en-US" w:eastAsia="zh-CN"/>
        </w:rPr>
        <w:t xml:space="preserve">22.3 </w:t>
      </w:r>
      <w:r>
        <w:rPr>
          <w:rFonts w:hint="eastAsia" w:ascii="宋体" w:hAnsi="宋体"/>
          <w:b/>
          <w:bCs/>
          <w:color w:val="auto"/>
          <w:sz w:val="28"/>
          <w:szCs w:val="22"/>
          <w:highlight w:val="yellow"/>
          <w:lang w:val="en-US" w:eastAsia="zh-CN"/>
        </w:rPr>
        <w:t>中标份额：原则上中标方为两家时分配比例为6：4，中标方为3家时分配比例为5：3：2。</w:t>
      </w:r>
    </w:p>
    <w:p>
      <w:pPr>
        <w:keepNext w:val="0"/>
        <w:keepLines w:val="0"/>
        <w:pageBreakBefore w:val="0"/>
        <w:widowControl w:val="0"/>
        <w:kinsoku/>
        <w:wordWrap/>
        <w:overflowPunct/>
        <w:topLinePunct w:val="0"/>
        <w:bidi w:val="0"/>
        <w:spacing w:line="360" w:lineRule="auto"/>
        <w:ind w:firstLine="560" w:firstLineChars="200"/>
        <w:textAlignment w:val="auto"/>
        <w:rPr>
          <w:rFonts w:hint="default" w:ascii="宋体" w:hAnsi="宋体"/>
          <w:b w:val="0"/>
          <w:bCs w:val="0"/>
          <w:color w:val="auto"/>
          <w:sz w:val="28"/>
          <w:szCs w:val="22"/>
          <w:highlight w:val="none"/>
          <w:lang w:val="en-US" w:eastAsia="zh-CN"/>
        </w:rPr>
      </w:pPr>
      <w:r>
        <w:rPr>
          <w:rFonts w:hint="default" w:ascii="宋体" w:hAnsi="宋体"/>
          <w:b w:val="0"/>
          <w:bCs w:val="0"/>
          <w:color w:val="auto"/>
          <w:sz w:val="28"/>
          <w:szCs w:val="22"/>
          <w:highlight w:val="none"/>
          <w:lang w:val="en-US" w:eastAsia="zh-CN"/>
        </w:rPr>
        <w:t>分配比例确定原则上在同样满足使用标准的情况下，参考初始报价、往期份额、供货能力及供货业绩适当调整分配比例。如中标方为新增供应商，则分配份额不超过30%，且最多中标家数做相应调整。</w:t>
      </w:r>
    </w:p>
    <w:p>
      <w:pPr>
        <w:keepNext w:val="0"/>
        <w:keepLines w:val="0"/>
        <w:pageBreakBefore w:val="0"/>
        <w:widowControl w:val="0"/>
        <w:kinsoku/>
        <w:wordWrap/>
        <w:overflowPunct/>
        <w:topLinePunct w:val="0"/>
        <w:bidi w:val="0"/>
        <w:spacing w:line="360" w:lineRule="auto"/>
        <w:textAlignment w:val="auto"/>
        <w:rPr>
          <w:rFonts w:ascii="宋体" w:hAnsi="宋体"/>
          <w:b/>
          <w:bCs/>
          <w:color w:val="auto"/>
          <w:sz w:val="28"/>
          <w:szCs w:val="20"/>
          <w:highlight w:val="none"/>
        </w:rPr>
      </w:pPr>
      <w:r>
        <w:rPr>
          <w:rFonts w:hint="eastAsia" w:ascii="宋体" w:hAnsi="宋体"/>
          <w:b/>
          <w:bCs/>
          <w:color w:val="auto"/>
          <w:sz w:val="28"/>
          <w:highlight w:val="none"/>
          <w:lang w:val="en-US" w:eastAsia="zh-CN"/>
        </w:rPr>
        <w:t>23</w:t>
      </w:r>
      <w:r>
        <w:rPr>
          <w:rFonts w:ascii="宋体" w:hAnsi="宋体"/>
          <w:b/>
          <w:bCs/>
          <w:color w:val="auto"/>
          <w:sz w:val="28"/>
          <w:highlight w:val="none"/>
        </w:rPr>
        <w:t>.授标、签订合同：</w:t>
      </w:r>
    </w:p>
    <w:p>
      <w:pPr>
        <w:keepNext w:val="0"/>
        <w:keepLines w:val="0"/>
        <w:pageBreakBefore w:val="0"/>
        <w:widowControl w:val="0"/>
        <w:kinsoku/>
        <w:wordWrap/>
        <w:overflowPunct/>
        <w:topLinePunct w:val="0"/>
        <w:bidi w:val="0"/>
        <w:spacing w:line="360" w:lineRule="auto"/>
        <w:textAlignment w:val="auto"/>
        <w:rPr>
          <w:rFonts w:ascii="宋体" w:hAnsi="宋体"/>
          <w:color w:val="auto"/>
          <w:sz w:val="28"/>
          <w:szCs w:val="20"/>
          <w:highlight w:val="none"/>
        </w:rPr>
      </w:pPr>
      <w:r>
        <w:rPr>
          <w:rFonts w:hint="eastAsia" w:ascii="宋体" w:hAnsi="宋体"/>
          <w:color w:val="auto"/>
          <w:sz w:val="28"/>
          <w:highlight w:val="none"/>
          <w:lang w:val="en-US" w:eastAsia="zh-CN"/>
        </w:rPr>
        <w:t>23</w:t>
      </w:r>
      <w:r>
        <w:rPr>
          <w:rFonts w:ascii="宋体" w:hAnsi="宋体"/>
          <w:color w:val="auto"/>
          <w:sz w:val="28"/>
          <w:highlight w:val="none"/>
        </w:rPr>
        <w:t>.1授标</w:t>
      </w:r>
    </w:p>
    <w:p>
      <w:pPr>
        <w:keepNext w:val="0"/>
        <w:keepLines w:val="0"/>
        <w:pageBreakBefore w:val="0"/>
        <w:widowControl w:val="0"/>
        <w:kinsoku/>
        <w:wordWrap/>
        <w:overflowPunct/>
        <w:topLinePunct w:val="0"/>
        <w:bidi w:val="0"/>
        <w:spacing w:line="360" w:lineRule="auto"/>
        <w:ind w:firstLine="560" w:firstLineChars="200"/>
        <w:textAlignment w:val="auto"/>
        <w:rPr>
          <w:rFonts w:ascii="宋体" w:hAnsi="宋体"/>
          <w:color w:val="auto"/>
          <w:sz w:val="28"/>
          <w:szCs w:val="20"/>
          <w:highlight w:val="none"/>
        </w:rPr>
      </w:pPr>
      <w:r>
        <w:rPr>
          <w:rFonts w:hint="eastAsia" w:ascii="宋体" w:hAnsi="宋体"/>
          <w:color w:val="auto"/>
          <w:sz w:val="28"/>
          <w:highlight w:val="none"/>
        </w:rPr>
        <w:t>（1）</w:t>
      </w:r>
      <w:r>
        <w:rPr>
          <w:rFonts w:hint="eastAsia" w:ascii="宋体" w:hAnsi="宋体"/>
          <w:color w:val="auto"/>
          <w:sz w:val="28"/>
          <w:highlight w:val="none"/>
          <w:lang w:val="en-US" w:eastAsia="zh-CN"/>
        </w:rPr>
        <w:t>采购</w:t>
      </w:r>
      <w:r>
        <w:rPr>
          <w:rFonts w:hint="eastAsia" w:ascii="宋体" w:hAnsi="宋体"/>
          <w:color w:val="auto"/>
          <w:sz w:val="28"/>
          <w:highlight w:val="none"/>
        </w:rPr>
        <w:t>方</w:t>
      </w:r>
      <w:r>
        <w:rPr>
          <w:rFonts w:hint="eastAsia" w:ascii="宋体" w:hAnsi="宋体"/>
          <w:color w:val="auto"/>
          <w:sz w:val="28"/>
          <w:highlight w:val="none"/>
          <w:lang w:val="en-US" w:eastAsia="zh-CN"/>
        </w:rPr>
        <w:t>通过中车购2.0平台</w:t>
      </w:r>
      <w:r>
        <w:rPr>
          <w:rFonts w:hint="eastAsia" w:ascii="宋体" w:hAnsi="宋体"/>
          <w:color w:val="auto"/>
          <w:sz w:val="28"/>
          <w:highlight w:val="none"/>
        </w:rPr>
        <w:t>通知中标方；</w:t>
      </w:r>
    </w:p>
    <w:p>
      <w:pPr>
        <w:keepNext w:val="0"/>
        <w:keepLines w:val="0"/>
        <w:pageBreakBefore w:val="0"/>
        <w:widowControl w:val="0"/>
        <w:kinsoku/>
        <w:wordWrap/>
        <w:overflowPunct/>
        <w:topLinePunct w:val="0"/>
        <w:bidi w:val="0"/>
        <w:spacing w:line="360" w:lineRule="auto"/>
        <w:ind w:firstLine="560" w:firstLineChars="200"/>
        <w:textAlignment w:val="auto"/>
        <w:rPr>
          <w:rFonts w:hint="eastAsia" w:ascii="宋体" w:hAnsi="宋体" w:eastAsia="宋体"/>
          <w:color w:val="FF0000"/>
          <w:sz w:val="28"/>
          <w:highlight w:val="yellow"/>
          <w:lang w:eastAsia="zh-CN"/>
        </w:rPr>
      </w:pPr>
      <w:r>
        <w:rPr>
          <w:rFonts w:hint="eastAsia" w:ascii="宋体" w:hAnsi="宋体"/>
          <w:color w:val="FF0000"/>
          <w:sz w:val="28"/>
          <w:highlight w:val="yellow"/>
        </w:rPr>
        <w:t>（2）中标方</w:t>
      </w:r>
      <w:r>
        <w:rPr>
          <w:rFonts w:hint="eastAsia" w:ascii="宋体" w:hAnsi="宋体"/>
          <w:color w:val="FF0000"/>
          <w:sz w:val="28"/>
          <w:highlight w:val="yellow"/>
          <w:lang w:val="en-US" w:eastAsia="zh-CN"/>
        </w:rPr>
        <w:t>与石家庄国祥运输设备有限公司</w:t>
      </w:r>
      <w:r>
        <w:rPr>
          <w:rFonts w:hint="eastAsia" w:ascii="宋体" w:hAnsi="宋体"/>
          <w:color w:val="FF0000"/>
          <w:sz w:val="28"/>
          <w:highlight w:val="yellow"/>
        </w:rPr>
        <w:t>签订合同。如发现质量及其他问题时，投标方需及时无条件退货，</w:t>
      </w:r>
      <w:r>
        <w:rPr>
          <w:rFonts w:hint="eastAsia" w:ascii="宋体" w:hAnsi="宋体"/>
          <w:color w:val="FF0000"/>
          <w:sz w:val="28"/>
          <w:highlight w:val="yellow"/>
          <w:lang w:val="en-US" w:eastAsia="zh-CN"/>
        </w:rPr>
        <w:t>投标方承担产生的全部费用，采购方有权</w:t>
      </w:r>
      <w:r>
        <w:rPr>
          <w:rFonts w:hint="eastAsia" w:ascii="宋体" w:hAnsi="宋体"/>
          <w:color w:val="FF0000"/>
          <w:sz w:val="28"/>
          <w:highlight w:val="yellow"/>
        </w:rPr>
        <w:t>取消其投标资格，并且一年内不予参加所有采购项目。</w:t>
      </w:r>
    </w:p>
    <w:p>
      <w:pPr>
        <w:keepNext w:val="0"/>
        <w:keepLines w:val="0"/>
        <w:pageBreakBefore w:val="0"/>
        <w:widowControl w:val="0"/>
        <w:kinsoku/>
        <w:wordWrap/>
        <w:overflowPunct/>
        <w:topLinePunct w:val="0"/>
        <w:bidi w:val="0"/>
        <w:spacing w:line="360" w:lineRule="auto"/>
        <w:ind w:firstLine="560" w:firstLineChars="200"/>
        <w:textAlignment w:val="auto"/>
        <w:rPr>
          <w:rFonts w:ascii="宋体" w:hAnsi="宋体"/>
          <w:color w:val="auto"/>
          <w:sz w:val="28"/>
          <w:szCs w:val="20"/>
          <w:highlight w:val="none"/>
        </w:rPr>
      </w:pPr>
      <w:r>
        <w:rPr>
          <w:rFonts w:hint="eastAsia" w:ascii="宋体" w:hAnsi="宋体"/>
          <w:color w:val="auto"/>
          <w:sz w:val="28"/>
          <w:highlight w:val="none"/>
        </w:rPr>
        <w:t>（3）当</w:t>
      </w:r>
      <w:r>
        <w:rPr>
          <w:rFonts w:hint="eastAsia" w:ascii="宋体" w:hAnsi="宋体"/>
          <w:color w:val="auto"/>
          <w:sz w:val="28"/>
          <w:highlight w:val="none"/>
          <w:lang w:val="en-US" w:eastAsia="zh-CN"/>
        </w:rPr>
        <w:t>采购</w:t>
      </w:r>
      <w:r>
        <w:rPr>
          <w:rFonts w:hint="eastAsia" w:ascii="宋体" w:hAnsi="宋体"/>
          <w:color w:val="auto"/>
          <w:sz w:val="28"/>
          <w:highlight w:val="none"/>
        </w:rPr>
        <w:t>方按规定确定中标单位后，</w:t>
      </w:r>
      <w:r>
        <w:rPr>
          <w:rFonts w:hint="eastAsia" w:ascii="宋体" w:hAnsi="宋体"/>
          <w:color w:val="auto"/>
          <w:sz w:val="28"/>
          <w:highlight w:val="none"/>
          <w:lang w:val="en-US" w:eastAsia="zh-CN"/>
        </w:rPr>
        <w:t>将按规定进行公示</w:t>
      </w:r>
      <w:r>
        <w:rPr>
          <w:rFonts w:hint="eastAsia" w:ascii="宋体" w:hAnsi="宋体"/>
          <w:color w:val="auto"/>
          <w:sz w:val="28"/>
          <w:highlight w:val="none"/>
        </w:rPr>
        <w:t>，</w:t>
      </w:r>
      <w:r>
        <w:rPr>
          <w:rFonts w:hint="eastAsia" w:ascii="宋体" w:hAnsi="宋体"/>
          <w:color w:val="auto"/>
          <w:sz w:val="28"/>
          <w:highlight w:val="none"/>
          <w:lang w:val="en-US" w:eastAsia="zh-CN"/>
        </w:rPr>
        <w:t>采购</w:t>
      </w:r>
      <w:r>
        <w:rPr>
          <w:rFonts w:hint="eastAsia" w:ascii="宋体" w:hAnsi="宋体"/>
          <w:color w:val="auto"/>
          <w:sz w:val="28"/>
          <w:highlight w:val="none"/>
        </w:rPr>
        <w:t>方对未中标的投标方不做解释。</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b w:val="0"/>
          <w:bCs w:val="0"/>
          <w:color w:val="FF0000"/>
          <w:sz w:val="28"/>
          <w:szCs w:val="36"/>
          <w:highlight w:val="yellow"/>
          <w:lang w:val="en-US" w:eastAsia="zh-CN"/>
        </w:rPr>
      </w:pPr>
      <w:r>
        <w:rPr>
          <w:rFonts w:hint="eastAsia" w:ascii="宋体" w:hAnsi="宋体"/>
          <w:color w:val="FF0000"/>
          <w:sz w:val="28"/>
          <w:highlight w:val="yellow"/>
          <w:lang w:val="en-US" w:eastAsia="zh-CN"/>
        </w:rPr>
        <w:t>23</w:t>
      </w:r>
      <w:r>
        <w:rPr>
          <w:rFonts w:ascii="宋体" w:hAnsi="宋体"/>
          <w:color w:val="FF0000"/>
          <w:sz w:val="28"/>
          <w:highlight w:val="yellow"/>
        </w:rPr>
        <w:t>.2签订合同：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b w:val="0"/>
          <w:bCs w:val="0"/>
          <w:color w:val="FF0000"/>
          <w:sz w:val="28"/>
          <w:szCs w:val="36"/>
          <w:highlight w:val="yellow"/>
          <w:lang w:val="en-US" w:eastAsia="zh-CN"/>
        </w:rPr>
      </w:pPr>
      <w:r>
        <w:rPr>
          <w:rFonts w:hint="eastAsia" w:ascii="宋体" w:hAnsi="宋体" w:cs="宋体"/>
          <w:b w:val="0"/>
          <w:bCs w:val="0"/>
          <w:color w:val="FF0000"/>
          <w:sz w:val="28"/>
          <w:szCs w:val="36"/>
          <w:highlight w:val="yellow"/>
          <w:lang w:val="en-US" w:eastAsia="zh-CN"/>
        </w:rPr>
        <w:t>中标方应按照中标通知书中规定的时间、地点，与石家庄国祥运输设备有限公司签订买卖合同。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cs="宋体"/>
          <w:b w:val="0"/>
          <w:bCs w:val="0"/>
          <w:color w:val="FF0000"/>
          <w:sz w:val="28"/>
          <w:szCs w:val="36"/>
          <w:highlight w:val="yellow"/>
          <w:lang w:val="en-US" w:eastAsia="zh-CN"/>
        </w:rPr>
      </w:pPr>
      <w:r>
        <w:rPr>
          <w:rFonts w:hint="eastAsia" w:ascii="宋体" w:hAnsi="宋体" w:cs="宋体"/>
          <w:b w:val="0"/>
          <w:bCs w:val="0"/>
          <w:color w:val="FF0000"/>
          <w:sz w:val="28"/>
          <w:szCs w:val="36"/>
          <w:highlight w:val="yellow"/>
          <w:lang w:val="en-US" w:eastAsia="zh-CN"/>
        </w:rPr>
        <w:t>中标单位由于不可抗因素造成不能正常供货时,双方协商后,可以终止合同。除此之外,中标单位不得以市场行情变化等其他任何借口终止合同，否则中标单位的履约保证金将被没收。并保留对其所造成的采购人的经济损失进行索赔的权利，同时解除合同。</w:t>
      </w:r>
    </w:p>
    <w:p>
      <w:pPr>
        <w:keepNext w:val="0"/>
        <w:keepLines w:val="0"/>
        <w:pageBreakBefore w:val="0"/>
        <w:widowControl w:val="0"/>
        <w:kinsoku/>
        <w:wordWrap/>
        <w:overflowPunct/>
        <w:topLinePunct w:val="0"/>
        <w:bidi w:val="0"/>
        <w:spacing w:line="360" w:lineRule="auto"/>
        <w:textAlignment w:val="auto"/>
        <w:rPr>
          <w:rFonts w:ascii="宋体" w:hAnsi="宋体" w:eastAsia="宋体" w:cs="Times New Roman"/>
          <w:color w:val="auto"/>
          <w:sz w:val="28"/>
          <w:highlight w:val="none"/>
        </w:rPr>
      </w:pPr>
      <w:r>
        <w:rPr>
          <w:rFonts w:hint="eastAsia" w:ascii="宋体" w:hAnsi="宋体" w:cs="Times New Roman"/>
          <w:color w:val="auto"/>
          <w:sz w:val="28"/>
          <w:highlight w:val="none"/>
          <w:lang w:val="en-US" w:eastAsia="zh-CN"/>
        </w:rPr>
        <w:t>23</w:t>
      </w:r>
      <w:r>
        <w:rPr>
          <w:rFonts w:ascii="宋体" w:hAnsi="宋体" w:eastAsia="宋体" w:cs="Times New Roman"/>
          <w:color w:val="auto"/>
          <w:sz w:val="28"/>
          <w:highlight w:val="none"/>
        </w:rPr>
        <w:t>.3</w:t>
      </w:r>
      <w:r>
        <w:rPr>
          <w:rFonts w:hint="eastAsia" w:ascii="宋体" w:hAnsi="宋体" w:eastAsia="宋体" w:cs="Times New Roman"/>
          <w:color w:val="auto"/>
          <w:sz w:val="28"/>
          <w:highlight w:val="none"/>
          <w:lang w:val="en-US" w:eastAsia="zh-CN"/>
        </w:rPr>
        <w:t>采购</w:t>
      </w:r>
      <w:r>
        <w:rPr>
          <w:rFonts w:ascii="宋体" w:hAnsi="宋体" w:eastAsia="宋体" w:cs="Times New Roman"/>
          <w:color w:val="auto"/>
          <w:sz w:val="28"/>
          <w:highlight w:val="none"/>
        </w:rPr>
        <w:t>方及时退还</w:t>
      </w:r>
      <w:r>
        <w:rPr>
          <w:rFonts w:hint="eastAsia" w:ascii="宋体" w:hAnsi="宋体" w:eastAsia="宋体" w:cs="Times New Roman"/>
          <w:color w:val="auto"/>
          <w:sz w:val="28"/>
          <w:highlight w:val="none"/>
        </w:rPr>
        <w:t>未中标</w:t>
      </w:r>
      <w:r>
        <w:rPr>
          <w:rFonts w:ascii="宋体" w:hAnsi="宋体" w:eastAsia="宋体" w:cs="Times New Roman"/>
          <w:color w:val="auto"/>
          <w:sz w:val="28"/>
          <w:highlight w:val="none"/>
        </w:rPr>
        <w:t>方的投标保证金</w:t>
      </w:r>
      <w:r>
        <w:rPr>
          <w:rFonts w:hint="eastAsia" w:ascii="宋体" w:hAnsi="宋体" w:eastAsia="宋体" w:cs="Times New Roman"/>
          <w:color w:val="auto"/>
          <w:sz w:val="28"/>
          <w:highlight w:val="none"/>
        </w:rPr>
        <w:t>（无息）</w:t>
      </w:r>
      <w:r>
        <w:rPr>
          <w:rFonts w:ascii="宋体" w:hAnsi="宋体" w:eastAsia="宋体" w:cs="Times New Roman"/>
          <w:color w:val="auto"/>
          <w:sz w:val="28"/>
          <w:highlight w:val="none"/>
        </w:rPr>
        <w:t>；中标方的投标保证金自动转为合同履约金，待完全按合同履约完成后退还中标方。</w:t>
      </w:r>
    </w:p>
    <w:p>
      <w:pPr>
        <w:keepNext w:val="0"/>
        <w:keepLines w:val="0"/>
        <w:pageBreakBefore w:val="0"/>
        <w:widowControl w:val="0"/>
        <w:kinsoku/>
        <w:wordWrap/>
        <w:overflowPunct/>
        <w:topLinePunct w:val="0"/>
        <w:bidi w:val="0"/>
        <w:spacing w:line="360" w:lineRule="auto"/>
        <w:textAlignment w:val="auto"/>
        <w:rPr>
          <w:rFonts w:hint="eastAsia" w:ascii="宋体" w:hAnsi="宋体" w:eastAsia="宋体" w:cs="Times New Roman"/>
          <w:color w:val="auto"/>
          <w:sz w:val="28"/>
          <w:highlight w:val="none"/>
        </w:rPr>
      </w:pPr>
      <w:r>
        <w:rPr>
          <w:rFonts w:hint="eastAsia" w:ascii="宋体" w:hAnsi="宋体" w:cs="Times New Roman"/>
          <w:color w:val="auto"/>
          <w:sz w:val="28"/>
          <w:highlight w:val="none"/>
          <w:lang w:val="en-US" w:eastAsia="zh-CN"/>
        </w:rPr>
        <w:t>23</w:t>
      </w:r>
      <w:r>
        <w:rPr>
          <w:rFonts w:hint="eastAsia" w:ascii="宋体" w:hAnsi="宋体" w:eastAsia="宋体" w:cs="Times New Roman"/>
          <w:color w:val="auto"/>
          <w:sz w:val="28"/>
          <w:highlight w:val="none"/>
          <w:lang w:val="en-US" w:eastAsia="zh-CN"/>
        </w:rPr>
        <w:t>.4</w:t>
      </w:r>
      <w:r>
        <w:rPr>
          <w:rFonts w:hint="eastAsia" w:ascii="宋体" w:hAnsi="宋体" w:eastAsia="宋体" w:cs="Times New Roman"/>
          <w:color w:val="auto"/>
          <w:sz w:val="28"/>
          <w:highlight w:val="none"/>
        </w:rPr>
        <w:t>确定中标人后，双方签订供货合同，供货数量以买方实际订单需求数量为准。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Times New Roman"/>
          <w:color w:val="auto"/>
          <w:sz w:val="28"/>
          <w:highlight w:val="none"/>
          <w:lang w:val="en-US" w:eastAsia="zh-CN"/>
        </w:rPr>
      </w:pPr>
      <w:r>
        <w:rPr>
          <w:rFonts w:hint="eastAsia" w:ascii="宋体" w:hAnsi="宋体" w:cs="Times New Roman"/>
          <w:color w:val="auto"/>
          <w:sz w:val="28"/>
          <w:highlight w:val="none"/>
          <w:lang w:val="en-US" w:eastAsia="zh-CN"/>
        </w:rPr>
        <w:t>23</w:t>
      </w:r>
      <w:r>
        <w:rPr>
          <w:rFonts w:hint="eastAsia" w:ascii="宋体" w:hAnsi="宋体" w:eastAsia="宋体" w:cs="Times New Roman"/>
          <w:color w:val="auto"/>
          <w:sz w:val="28"/>
          <w:highlight w:val="none"/>
          <w:lang w:val="en-US" w:eastAsia="zh-CN"/>
        </w:rPr>
        <w:t>.5 中标方</w:t>
      </w:r>
      <w:r>
        <w:rPr>
          <w:rFonts w:hint="eastAsia" w:ascii="宋体" w:hAnsi="宋体" w:cs="Times New Roman"/>
          <w:color w:val="auto"/>
          <w:sz w:val="28"/>
          <w:highlight w:val="none"/>
          <w:lang w:val="en-US" w:eastAsia="zh-CN"/>
        </w:rPr>
        <w:t>在</w:t>
      </w:r>
      <w:r>
        <w:rPr>
          <w:rFonts w:hint="eastAsia" w:ascii="宋体" w:hAnsi="宋体" w:eastAsia="宋体" w:cs="Times New Roman"/>
          <w:color w:val="auto"/>
          <w:sz w:val="28"/>
          <w:highlight w:val="none"/>
        </w:rPr>
        <w:t>产品供货</w:t>
      </w:r>
      <w:r>
        <w:rPr>
          <w:rFonts w:hint="eastAsia" w:ascii="宋体" w:hAnsi="宋体" w:cs="Times New Roman"/>
          <w:color w:val="auto"/>
          <w:sz w:val="28"/>
          <w:highlight w:val="none"/>
          <w:lang w:val="en-US" w:eastAsia="zh-CN"/>
        </w:rPr>
        <w:t>时，</w:t>
      </w:r>
      <w:r>
        <w:rPr>
          <w:rFonts w:hint="eastAsia" w:ascii="宋体" w:hAnsi="宋体" w:eastAsia="宋体" w:cs="Times New Roman"/>
          <w:color w:val="auto"/>
          <w:sz w:val="28"/>
          <w:highlight w:val="none"/>
          <w:lang w:val="en-US" w:eastAsia="zh-CN"/>
        </w:rPr>
        <w:t>采购方有权对交货产品进行抽检，中标方需给与配合，因中标方责任产生的费用由中标方承担。</w:t>
      </w:r>
    </w:p>
    <w:p>
      <w:pPr>
        <w:pStyle w:val="3"/>
        <w:numPr>
          <w:ilvl w:val="1"/>
          <w:numId w:val="0"/>
        </w:numPr>
        <w:spacing w:line="360" w:lineRule="auto"/>
        <w:ind w:leftChars="0"/>
        <w:rPr>
          <w:rFonts w:hint="eastAsia" w:ascii="宋体" w:hAnsi="宋体" w:eastAsia="宋体" w:cs="Times New Roman"/>
          <w:b/>
          <w:bCs/>
          <w:color w:val="auto"/>
          <w:kern w:val="2"/>
          <w:sz w:val="28"/>
          <w:highlight w:val="none"/>
          <w:lang w:val="en-US" w:eastAsia="zh-CN" w:bidi="ar-SA"/>
        </w:rPr>
      </w:pPr>
      <w:r>
        <w:rPr>
          <w:rFonts w:hint="eastAsia" w:cs="Times New Roman"/>
          <w:b/>
          <w:bCs/>
          <w:color w:val="auto"/>
          <w:kern w:val="2"/>
          <w:sz w:val="28"/>
          <w:highlight w:val="none"/>
          <w:lang w:val="en-US" w:eastAsia="zh-CN" w:bidi="ar-SA"/>
        </w:rPr>
        <w:t>24.</w:t>
      </w:r>
      <w:r>
        <w:rPr>
          <w:rFonts w:hint="eastAsia" w:ascii="宋体" w:hAnsi="宋体" w:eastAsia="宋体" w:cs="Times New Roman"/>
          <w:b/>
          <w:bCs/>
          <w:color w:val="auto"/>
          <w:kern w:val="2"/>
          <w:sz w:val="28"/>
          <w:highlight w:val="none"/>
          <w:lang w:val="en-US" w:eastAsia="zh-CN" w:bidi="ar-SA"/>
        </w:rPr>
        <w:t>付款方式</w:t>
      </w:r>
    </w:p>
    <w:p>
      <w:pPr>
        <w:spacing w:line="360" w:lineRule="auto"/>
        <w:ind w:firstLine="560" w:firstLineChars="200"/>
        <w:jc w:val="left"/>
        <w:rPr>
          <w:rFonts w:hint="eastAsia" w:ascii="宋体" w:hAnsi="宋体" w:eastAsia="宋体" w:cs="Times New Roman"/>
          <w:b w:val="0"/>
          <w:bCs w:val="0"/>
          <w:color w:val="auto"/>
          <w:kern w:val="2"/>
          <w:sz w:val="28"/>
          <w:highlight w:val="none"/>
          <w:lang w:val="en-US" w:eastAsia="zh-CN" w:bidi="ar-SA"/>
        </w:rPr>
      </w:pPr>
      <w:r>
        <w:rPr>
          <w:rFonts w:hint="eastAsia" w:ascii="宋体" w:hAnsi="宋体" w:eastAsia="宋体" w:cs="Times New Roman"/>
          <w:b w:val="0"/>
          <w:bCs w:val="0"/>
          <w:color w:val="auto"/>
          <w:kern w:val="2"/>
          <w:sz w:val="28"/>
          <w:highlight w:val="none"/>
          <w:lang w:val="en-US" w:eastAsia="zh-CN" w:bidi="ar-SA"/>
        </w:rPr>
        <w:t>货到需方验收合格后，需方凭供方开具的13%增值税专用发票，</w:t>
      </w:r>
      <w:r>
        <w:rPr>
          <w:rFonts w:hint="eastAsia" w:ascii="宋体" w:hAnsi="宋体" w:eastAsia="宋体" w:cs="Times New Roman"/>
          <w:b/>
          <w:bCs/>
          <w:color w:val="auto"/>
          <w:kern w:val="2"/>
          <w:sz w:val="28"/>
          <w:highlight w:val="none"/>
          <w:lang w:val="en-US" w:eastAsia="zh-CN" w:bidi="ar-SA"/>
        </w:rPr>
        <w:t>6个月</w:t>
      </w:r>
      <w:r>
        <w:rPr>
          <w:rFonts w:hint="eastAsia" w:ascii="宋体" w:hAnsi="宋体" w:eastAsia="宋体" w:cs="Times New Roman"/>
          <w:b w:val="0"/>
          <w:bCs w:val="0"/>
          <w:color w:val="auto"/>
          <w:kern w:val="2"/>
          <w:sz w:val="28"/>
          <w:highlight w:val="none"/>
          <w:lang w:val="en-US" w:eastAsia="zh-CN" w:bidi="ar-SA"/>
        </w:rPr>
        <w:t>以</w:t>
      </w:r>
      <w:r>
        <w:rPr>
          <w:rFonts w:hint="eastAsia" w:ascii="宋体" w:hAnsi="宋体" w:cs="Times New Roman"/>
          <w:b w:val="0"/>
          <w:bCs w:val="0"/>
          <w:color w:val="auto"/>
          <w:kern w:val="2"/>
          <w:sz w:val="28"/>
          <w:highlight w:val="cyan"/>
          <w:lang w:val="en-US" w:eastAsia="zh-CN" w:bidi="ar-SA"/>
        </w:rPr>
        <w:t>商业承兑汇票</w:t>
      </w:r>
      <w:r>
        <w:rPr>
          <w:rFonts w:hint="eastAsia" w:ascii="宋体" w:hAnsi="宋体" w:eastAsia="宋体" w:cs="Times New Roman"/>
          <w:b w:val="0"/>
          <w:bCs w:val="0"/>
          <w:color w:val="auto"/>
          <w:kern w:val="2"/>
          <w:sz w:val="28"/>
          <w:highlight w:val="none"/>
          <w:lang w:val="en-US" w:eastAsia="zh-CN" w:bidi="ar-SA"/>
        </w:rPr>
        <w:t>方式进行付款。</w:t>
      </w:r>
    </w:p>
    <w:p>
      <w:pPr>
        <w:pStyle w:val="3"/>
        <w:numPr>
          <w:ilvl w:val="1"/>
          <w:numId w:val="0"/>
        </w:numPr>
        <w:spacing w:line="360" w:lineRule="auto"/>
        <w:ind w:leftChars="0"/>
        <w:rPr>
          <w:rFonts w:hint="eastAsia" w:ascii="宋体" w:hAnsi="宋体" w:eastAsia="宋体" w:cs="Times New Roman"/>
          <w:b/>
          <w:bCs/>
          <w:color w:val="auto"/>
          <w:kern w:val="2"/>
          <w:sz w:val="28"/>
          <w:highlight w:val="none"/>
          <w:lang w:val="en-US" w:eastAsia="zh-CN" w:bidi="ar-SA"/>
        </w:rPr>
      </w:pPr>
      <w:r>
        <w:rPr>
          <w:rFonts w:hint="eastAsia" w:cs="Times New Roman"/>
          <w:b/>
          <w:bCs/>
          <w:color w:val="auto"/>
          <w:kern w:val="2"/>
          <w:sz w:val="28"/>
          <w:highlight w:val="none"/>
          <w:lang w:val="en-US" w:eastAsia="zh-CN" w:bidi="ar-SA"/>
        </w:rPr>
        <w:t>25.</w:t>
      </w:r>
      <w:r>
        <w:rPr>
          <w:rFonts w:hint="eastAsia" w:ascii="宋体" w:hAnsi="宋体" w:eastAsia="宋体" w:cs="Times New Roman"/>
          <w:b/>
          <w:bCs/>
          <w:color w:val="auto"/>
          <w:kern w:val="2"/>
          <w:sz w:val="28"/>
          <w:highlight w:val="none"/>
          <w:lang w:val="en-US" w:eastAsia="zh-CN" w:bidi="ar-SA"/>
        </w:rPr>
        <w:t>质量保证期及服务</w:t>
      </w:r>
    </w:p>
    <w:p>
      <w:pPr>
        <w:spacing w:line="360" w:lineRule="auto"/>
        <w:jc w:val="left"/>
        <w:rPr>
          <w:rFonts w:hint="eastAsia" w:ascii="宋体" w:hAnsi="宋体" w:eastAsia="宋体" w:cs="Times New Roman"/>
          <w:b w:val="0"/>
          <w:bCs w:val="0"/>
          <w:color w:val="auto"/>
          <w:kern w:val="2"/>
          <w:sz w:val="28"/>
          <w:highlight w:val="none"/>
          <w:lang w:val="en-US" w:eastAsia="zh-CN" w:bidi="ar-SA"/>
        </w:rPr>
      </w:pPr>
      <w:r>
        <w:rPr>
          <w:rFonts w:hint="eastAsia" w:ascii="宋体" w:hAnsi="宋体" w:cs="Times New Roman"/>
          <w:b w:val="0"/>
          <w:bCs w:val="0"/>
          <w:color w:val="auto"/>
          <w:kern w:val="2"/>
          <w:sz w:val="28"/>
          <w:highlight w:val="none"/>
          <w:lang w:val="en-US" w:eastAsia="zh-CN" w:bidi="ar-SA"/>
        </w:rPr>
        <w:t>（1）</w:t>
      </w:r>
      <w:r>
        <w:rPr>
          <w:rFonts w:hint="eastAsia" w:ascii="宋体" w:hAnsi="宋体" w:eastAsia="宋体" w:cs="Times New Roman"/>
          <w:b w:val="0"/>
          <w:bCs w:val="0"/>
          <w:color w:val="auto"/>
          <w:kern w:val="2"/>
          <w:sz w:val="28"/>
          <w:highlight w:val="none"/>
          <w:lang w:val="en-US" w:eastAsia="zh-CN" w:bidi="ar-SA"/>
        </w:rPr>
        <w:t>从交车验收合格之日起算</w:t>
      </w:r>
      <w:r>
        <w:rPr>
          <w:rFonts w:hint="eastAsia" w:ascii="宋体" w:hAnsi="宋体" w:eastAsia="宋体" w:cs="Times New Roman"/>
          <w:b/>
          <w:bCs/>
          <w:color w:val="auto"/>
          <w:kern w:val="2"/>
          <w:sz w:val="28"/>
          <w:highlight w:val="none"/>
          <w:lang w:val="en-US" w:eastAsia="zh-CN" w:bidi="ar-SA"/>
        </w:rPr>
        <w:t>36个月</w:t>
      </w:r>
      <w:r>
        <w:rPr>
          <w:rFonts w:hint="eastAsia" w:ascii="宋体" w:hAnsi="宋体" w:eastAsia="宋体" w:cs="Times New Roman"/>
          <w:b w:val="0"/>
          <w:bCs w:val="0"/>
          <w:color w:val="auto"/>
          <w:kern w:val="2"/>
          <w:sz w:val="28"/>
          <w:highlight w:val="none"/>
          <w:lang w:val="en-US" w:eastAsia="zh-CN" w:bidi="ar-SA"/>
        </w:rPr>
        <w:t>。</w:t>
      </w:r>
    </w:p>
    <w:p>
      <w:pPr>
        <w:spacing w:line="360" w:lineRule="auto"/>
        <w:jc w:val="left"/>
        <w:rPr>
          <w:rFonts w:hint="eastAsia" w:ascii="宋体" w:hAnsi="宋体" w:eastAsia="宋体" w:cs="Times New Roman"/>
          <w:b w:val="0"/>
          <w:bCs w:val="0"/>
          <w:color w:val="auto"/>
          <w:kern w:val="2"/>
          <w:sz w:val="28"/>
          <w:highlight w:val="none"/>
          <w:lang w:val="en-US" w:eastAsia="zh-CN" w:bidi="ar-SA"/>
        </w:rPr>
      </w:pPr>
      <w:r>
        <w:rPr>
          <w:rFonts w:hint="eastAsia" w:ascii="宋体" w:hAnsi="宋体" w:cs="Times New Roman"/>
          <w:b w:val="0"/>
          <w:bCs w:val="0"/>
          <w:color w:val="auto"/>
          <w:kern w:val="2"/>
          <w:sz w:val="28"/>
          <w:highlight w:val="none"/>
          <w:lang w:val="en-US" w:eastAsia="zh-CN" w:bidi="ar-SA"/>
        </w:rPr>
        <w:t>（2）</w:t>
      </w:r>
      <w:r>
        <w:rPr>
          <w:rFonts w:hint="eastAsia" w:ascii="宋体" w:hAnsi="宋体" w:eastAsia="宋体" w:cs="Times New Roman"/>
          <w:b w:val="0"/>
          <w:bCs w:val="0"/>
          <w:color w:val="auto"/>
          <w:kern w:val="2"/>
          <w:sz w:val="28"/>
          <w:highlight w:val="none"/>
          <w:lang w:val="en-US" w:eastAsia="zh-CN" w:bidi="ar-SA"/>
        </w:rPr>
        <w:t>涉及到海外调试或者产品发生故障需要中标方提供协助或技术支持的，中标方应积极配合，必要时需安排人员到海外现场配合</w:t>
      </w:r>
      <w:r>
        <w:rPr>
          <w:rFonts w:hint="eastAsia" w:ascii="宋体" w:hAnsi="宋体" w:cs="Times New Roman"/>
          <w:b w:val="0"/>
          <w:bCs w:val="0"/>
          <w:color w:val="auto"/>
          <w:kern w:val="2"/>
          <w:sz w:val="28"/>
          <w:highlight w:val="none"/>
          <w:lang w:val="en-US" w:eastAsia="zh-CN" w:bidi="ar-SA"/>
        </w:rPr>
        <w:t>。</w:t>
      </w:r>
    </w:p>
    <w:p>
      <w:pPr>
        <w:spacing w:line="360" w:lineRule="auto"/>
        <w:jc w:val="left"/>
        <w:rPr>
          <w:rFonts w:hint="eastAsia" w:ascii="宋体" w:hAnsi="宋体" w:eastAsia="宋体" w:cs="Times New Roman"/>
          <w:b/>
          <w:bCs/>
          <w:color w:val="FF0000"/>
          <w:kern w:val="2"/>
          <w:sz w:val="28"/>
          <w:highlight w:val="none"/>
          <w:lang w:val="en-US" w:eastAsia="zh-CN" w:bidi="ar-SA"/>
        </w:rPr>
      </w:pPr>
      <w:r>
        <w:rPr>
          <w:rFonts w:hint="eastAsia" w:ascii="宋体" w:hAnsi="宋体" w:cs="Times New Roman"/>
          <w:b/>
          <w:bCs/>
          <w:color w:val="FF0000"/>
          <w:kern w:val="2"/>
          <w:sz w:val="28"/>
          <w:highlight w:val="none"/>
          <w:lang w:val="en-US" w:eastAsia="zh-CN" w:bidi="ar-SA"/>
        </w:rPr>
        <w:t>26.</w:t>
      </w:r>
      <w:r>
        <w:rPr>
          <w:rFonts w:hint="eastAsia" w:ascii="宋体" w:hAnsi="宋体" w:eastAsia="宋体" w:cs="Times New Roman"/>
          <w:b/>
          <w:bCs/>
          <w:color w:val="FF0000"/>
          <w:kern w:val="2"/>
          <w:sz w:val="28"/>
          <w:highlight w:val="none"/>
          <w:lang w:val="en-US" w:eastAsia="zh-CN" w:bidi="ar-SA"/>
        </w:rPr>
        <w:t>中标方违约责任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sz w:val="28"/>
          <w:highlight w:val="none"/>
          <w:lang w:val="en-US" w:eastAsia="zh-CN"/>
        </w:rPr>
        <w:t>27.1</w:t>
      </w:r>
      <w:r>
        <w:rPr>
          <w:rFonts w:ascii="宋体" w:hAnsi="宋体" w:eastAsia="宋体" w:cs="Times New Roman"/>
          <w:b w:val="0"/>
          <w:bCs w:val="0"/>
          <w:color w:val="FF0000"/>
          <w:sz w:val="28"/>
          <w:highlight w:val="none"/>
        </w:rPr>
        <w:t>违约责任：</w:t>
      </w:r>
      <w:r>
        <w:rPr>
          <w:rFonts w:ascii="宋体" w:hAnsi="宋体" w:eastAsia="宋体" w:cs="Times New Roman"/>
          <w:color w:val="FF0000"/>
          <w:sz w:val="28"/>
          <w:highlight w:val="none"/>
        </w:rPr>
        <w:t>如中标方不签订合同或签订合同后不</w:t>
      </w:r>
      <w:r>
        <w:rPr>
          <w:rFonts w:hint="eastAsia" w:ascii="宋体" w:hAnsi="宋体" w:eastAsia="宋体" w:cs="Times New Roman"/>
          <w:color w:val="FF0000"/>
          <w:sz w:val="28"/>
          <w:highlight w:val="none"/>
        </w:rPr>
        <w:t>按规定</w:t>
      </w:r>
      <w:r>
        <w:rPr>
          <w:rFonts w:ascii="宋体" w:hAnsi="宋体" w:eastAsia="宋体" w:cs="Times New Roman"/>
          <w:color w:val="FF0000"/>
          <w:sz w:val="28"/>
          <w:highlight w:val="none"/>
        </w:rPr>
        <w:t>履行合同，</w:t>
      </w:r>
      <w:r>
        <w:rPr>
          <w:rFonts w:hint="eastAsia" w:ascii="宋体" w:hAnsi="宋体" w:eastAsia="宋体" w:cs="Times New Roman"/>
          <w:color w:val="FF0000"/>
          <w:sz w:val="28"/>
          <w:highlight w:val="none"/>
          <w:lang w:val="zh-CN"/>
        </w:rPr>
        <w:t>其投标保证金将不予退还并视情况按违约金额的5%进行违约处罚，如</w:t>
      </w:r>
      <w:r>
        <w:rPr>
          <w:rFonts w:hint="eastAsia" w:ascii="宋体" w:hAnsi="宋体" w:eastAsia="宋体" w:cs="Times New Roman"/>
          <w:color w:val="FF0000"/>
          <w:sz w:val="28"/>
          <w:highlight w:val="none"/>
        </w:rPr>
        <w:t>果对招标方造成严重影响的直至追究法律责任。</w:t>
      </w:r>
    </w:p>
    <w:p>
      <w:pPr>
        <w:spacing w:line="360" w:lineRule="auto"/>
        <w:jc w:val="left"/>
        <w:rPr>
          <w:rFonts w:hint="eastAsia" w:ascii="宋体" w:hAnsi="宋体" w:cs="Times New Roman"/>
          <w:b w:val="0"/>
          <w:bCs w:val="0"/>
          <w:color w:val="FF0000"/>
          <w:sz w:val="28"/>
          <w:highlight w:val="none"/>
          <w:lang w:val="en-US" w:eastAsia="zh-CN"/>
        </w:rPr>
      </w:pPr>
      <w:r>
        <w:rPr>
          <w:rFonts w:hint="eastAsia" w:ascii="宋体" w:hAnsi="宋体" w:cs="Times New Roman"/>
          <w:b w:val="0"/>
          <w:bCs w:val="0"/>
          <w:color w:val="FF0000"/>
          <w:sz w:val="28"/>
          <w:highlight w:val="none"/>
          <w:lang w:val="en-US" w:eastAsia="zh-CN"/>
        </w:rPr>
        <w:t>27.2</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（1）</w:t>
      </w:r>
      <w:r>
        <w:rPr>
          <w:rFonts w:hint="eastAsia" w:ascii="宋体" w:hAnsi="宋体" w:eastAsia="宋体" w:cs="Times New Roman"/>
          <w:b w:val="0"/>
          <w:bCs w:val="0"/>
          <w:color w:val="FF0000"/>
          <w:kern w:val="2"/>
          <w:sz w:val="28"/>
          <w:highlight w:val="none"/>
          <w:lang w:val="en-US" w:eastAsia="zh-CN" w:bidi="ar-SA"/>
        </w:rPr>
        <w:t>如中标方延期交货：每逾期一天支付给招标方合同金额1.5%。为违约金，并须承担由此造成招标方无法向其客户按期交货承担的违约赔偿金；逾期达到10天后，招标方有权解除本合同，并要求中标方支付合同金额 50 %的违约金。</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（2）</w:t>
      </w:r>
      <w:r>
        <w:rPr>
          <w:rFonts w:hint="eastAsia" w:ascii="宋体" w:hAnsi="宋体" w:eastAsia="宋体" w:cs="Times New Roman"/>
          <w:b w:val="0"/>
          <w:bCs w:val="0"/>
          <w:color w:val="FF0000"/>
          <w:kern w:val="2"/>
          <w:sz w:val="28"/>
          <w:highlight w:val="none"/>
          <w:lang w:val="en-US" w:eastAsia="zh-CN" w:bidi="ar-SA"/>
        </w:rPr>
        <w:t>如中标方产品质量不符合需方验收标准：招标方有权退货或换货，中标方需配合招标方需求退回已支付的货款，或为其重新提供合格产品。同时中标方须承担上述4.1款的责任。</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（3）</w:t>
      </w:r>
      <w:r>
        <w:rPr>
          <w:rFonts w:hint="eastAsia" w:ascii="宋体" w:hAnsi="宋体" w:eastAsia="宋体" w:cs="Times New Roman"/>
          <w:b w:val="0"/>
          <w:bCs w:val="0"/>
          <w:color w:val="FF0000"/>
          <w:kern w:val="2"/>
          <w:sz w:val="28"/>
          <w:highlight w:val="none"/>
          <w:lang w:val="en-US" w:eastAsia="zh-CN" w:bidi="ar-SA"/>
        </w:rPr>
        <w:t>因中标方产品质量问题给招标方造成损失时，中标方需对招标方赔偿，赔偿上限为合同总额的100%。</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（4）</w:t>
      </w:r>
      <w:r>
        <w:rPr>
          <w:rFonts w:hint="eastAsia" w:ascii="宋体" w:hAnsi="宋体" w:eastAsia="宋体" w:cs="Times New Roman"/>
          <w:b w:val="0"/>
          <w:bCs w:val="0"/>
          <w:color w:val="FF0000"/>
          <w:kern w:val="2"/>
          <w:sz w:val="28"/>
          <w:highlight w:val="none"/>
          <w:lang w:val="en-US" w:eastAsia="zh-CN" w:bidi="ar-SA"/>
        </w:rPr>
        <w:t>当中标方产品质量给招标方的客户造成损失招致索赔或罚款时，招标方有权扣除中标方质保金或解除采购合同，中标方还应当承担招标方因此向用户支付的所有赔偿金及重新采购多支付的费用。</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（5）</w:t>
      </w:r>
      <w:r>
        <w:rPr>
          <w:rFonts w:hint="eastAsia" w:ascii="宋体" w:hAnsi="宋体" w:eastAsia="宋体" w:cs="Times New Roman"/>
          <w:b w:val="0"/>
          <w:bCs w:val="0"/>
          <w:color w:val="FF0000"/>
          <w:kern w:val="2"/>
          <w:sz w:val="28"/>
          <w:highlight w:val="none"/>
          <w:lang w:val="en-US" w:eastAsia="zh-CN" w:bidi="ar-SA"/>
        </w:rPr>
        <w:t>在违约责任解决前招标方有权停止向中标方付款。</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（6）</w:t>
      </w:r>
      <w:r>
        <w:rPr>
          <w:rFonts w:hint="eastAsia" w:ascii="宋体" w:hAnsi="宋体" w:eastAsia="宋体" w:cs="Times New Roman"/>
          <w:b w:val="0"/>
          <w:bCs w:val="0"/>
          <w:color w:val="FF0000"/>
          <w:kern w:val="2"/>
          <w:sz w:val="28"/>
          <w:highlight w:val="none"/>
          <w:lang w:val="en-US" w:eastAsia="zh-CN" w:bidi="ar-SA"/>
        </w:rPr>
        <w:t>中标方在质保期内未履行保修责任的，招标方有权扣除全部质保金，并选择其他方对产品进行维修，所发生的费用由中标方承担。</w:t>
      </w:r>
    </w:p>
    <w:p>
      <w:pPr>
        <w:pStyle w:val="3"/>
        <w:numPr>
          <w:ilvl w:val="1"/>
          <w:numId w:val="0"/>
        </w:numPr>
        <w:spacing w:line="360" w:lineRule="auto"/>
        <w:ind w:leftChars="0"/>
        <w:rPr>
          <w:rFonts w:hint="eastAsia" w:ascii="宋体" w:hAnsi="宋体" w:eastAsia="宋体" w:cs="Times New Roman"/>
          <w:b/>
          <w:bCs/>
          <w:color w:val="FF0000"/>
          <w:kern w:val="2"/>
          <w:sz w:val="28"/>
          <w:highlight w:val="none"/>
          <w:lang w:val="en-US" w:eastAsia="zh-CN" w:bidi="ar-SA"/>
        </w:rPr>
      </w:pPr>
      <w:r>
        <w:rPr>
          <w:rFonts w:hint="eastAsia" w:cs="Times New Roman"/>
          <w:b/>
          <w:bCs/>
          <w:color w:val="FF0000"/>
          <w:kern w:val="2"/>
          <w:sz w:val="28"/>
          <w:highlight w:val="none"/>
          <w:lang w:val="en-US" w:eastAsia="zh-CN" w:bidi="ar-SA"/>
        </w:rPr>
        <w:t>27.</w:t>
      </w:r>
      <w:r>
        <w:rPr>
          <w:rFonts w:hint="eastAsia" w:ascii="宋体" w:hAnsi="宋体" w:eastAsia="宋体" w:cs="Times New Roman"/>
          <w:b/>
          <w:bCs/>
          <w:color w:val="FF0000"/>
          <w:kern w:val="2"/>
          <w:sz w:val="28"/>
          <w:highlight w:val="none"/>
          <w:lang w:val="en-US" w:eastAsia="zh-CN" w:bidi="ar-SA"/>
        </w:rPr>
        <w:t>合同/订单变更</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（1）</w:t>
      </w:r>
      <w:r>
        <w:rPr>
          <w:rFonts w:hint="eastAsia" w:ascii="宋体" w:hAnsi="宋体" w:eastAsia="宋体" w:cs="Times New Roman"/>
          <w:b w:val="0"/>
          <w:bCs w:val="0"/>
          <w:color w:val="FF0000"/>
          <w:kern w:val="2"/>
          <w:sz w:val="28"/>
          <w:highlight w:val="none"/>
          <w:lang w:val="en-US" w:eastAsia="zh-CN" w:bidi="ar-SA"/>
        </w:rPr>
        <w:t>如最终用户订单（合同）变更牵涉到本次招标产品，招标方书面通知中标方，中标方在接到招标方通知后，应配合进行相应变更，并按照招标方的要求提前或延后交付，招标方无需额外支付费用。</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（2）</w:t>
      </w:r>
      <w:r>
        <w:rPr>
          <w:rFonts w:hint="eastAsia" w:ascii="宋体" w:hAnsi="宋体" w:eastAsia="宋体" w:cs="Times New Roman"/>
          <w:b w:val="0"/>
          <w:bCs w:val="0"/>
          <w:color w:val="FF0000"/>
          <w:kern w:val="2"/>
          <w:sz w:val="28"/>
          <w:highlight w:val="none"/>
          <w:lang w:val="en-US" w:eastAsia="zh-CN" w:bidi="ar-SA"/>
        </w:rPr>
        <w:t>如最终用户终止订单/合同，招标方有权变更相应招标产品采购数量或终止采购，相应变更由招标方在不低于交货周期的时间前以书面方式通知中标方，中标方须配合进行相应变更，招标方无需额外支付费用。</w:t>
      </w:r>
    </w:p>
    <w:p>
      <w:pPr>
        <w:spacing w:line="360" w:lineRule="auto"/>
        <w:jc w:val="left"/>
        <w:rPr>
          <w:rFonts w:hint="eastAsia" w:ascii="宋体" w:hAnsi="宋体" w:eastAsia="宋体" w:cs="Times New Roman"/>
          <w:b w:val="0"/>
          <w:bCs w:val="0"/>
          <w:color w:val="FF0000"/>
          <w:kern w:val="2"/>
          <w:sz w:val="28"/>
          <w:highlight w:val="none"/>
          <w:lang w:val="en-US" w:eastAsia="zh-CN" w:bidi="ar-SA"/>
        </w:rPr>
      </w:pPr>
      <w:r>
        <w:rPr>
          <w:rFonts w:hint="eastAsia" w:ascii="宋体" w:hAnsi="宋体" w:cs="Times New Roman"/>
          <w:b w:val="0"/>
          <w:bCs w:val="0"/>
          <w:color w:val="FF0000"/>
          <w:kern w:val="2"/>
          <w:sz w:val="28"/>
          <w:highlight w:val="none"/>
          <w:lang w:val="en-US" w:eastAsia="zh-CN" w:bidi="ar-SA"/>
        </w:rPr>
        <w:t>（3）</w:t>
      </w:r>
      <w:r>
        <w:rPr>
          <w:rFonts w:hint="eastAsia" w:ascii="宋体" w:hAnsi="宋体" w:eastAsia="宋体" w:cs="Times New Roman"/>
          <w:b w:val="0"/>
          <w:bCs w:val="0"/>
          <w:color w:val="FF0000"/>
          <w:kern w:val="2"/>
          <w:sz w:val="28"/>
          <w:highlight w:val="none"/>
          <w:lang w:val="en-US" w:eastAsia="zh-CN" w:bidi="ar-SA"/>
        </w:rPr>
        <w:t>中标方在产品质量保证期届满后，需随时以最优惠的价格提供该产品及该产品使用的易损件/消耗性材料，并保证该产品备品备件</w:t>
      </w:r>
      <w:r>
        <w:rPr>
          <w:rFonts w:hint="eastAsia" w:ascii="宋体" w:hAnsi="宋体" w:eastAsia="宋体" w:cs="Times New Roman"/>
          <w:b/>
          <w:bCs/>
          <w:color w:val="FF0000"/>
          <w:kern w:val="2"/>
          <w:sz w:val="28"/>
          <w:highlight w:val="none"/>
          <w:lang w:val="en-US" w:eastAsia="zh-CN" w:bidi="ar-SA"/>
        </w:rPr>
        <w:t>35年</w:t>
      </w:r>
      <w:r>
        <w:rPr>
          <w:rFonts w:hint="eastAsia" w:ascii="宋体" w:hAnsi="宋体" w:eastAsia="宋体" w:cs="Times New Roman"/>
          <w:b w:val="0"/>
          <w:bCs w:val="0"/>
          <w:color w:val="FF0000"/>
          <w:kern w:val="2"/>
          <w:sz w:val="28"/>
          <w:highlight w:val="none"/>
          <w:lang w:val="en-US" w:eastAsia="zh-CN" w:bidi="ar-SA"/>
        </w:rPr>
        <w:t>内及时供应，如有变更需提前通知需方，以保障车辆运营维修的要求。</w:t>
      </w:r>
    </w:p>
    <w:p>
      <w:pPr>
        <w:rPr>
          <w:rFonts w:hint="eastAsia" w:ascii="宋体" w:hAnsi="宋体" w:eastAsia="宋体" w:cs="Times New Roman"/>
          <w:b/>
          <w:bCs/>
          <w:color w:val="auto"/>
          <w:sz w:val="28"/>
          <w:highlight w:val="none"/>
          <w:lang w:val="en-US" w:eastAsia="zh-CN"/>
        </w:rPr>
      </w:pPr>
    </w:p>
    <w:p>
      <w:pPr>
        <w:rPr>
          <w:rFonts w:hint="eastAsia" w:ascii="宋体" w:hAnsi="宋体" w:eastAsia="宋体" w:cs="Times New Roman"/>
          <w:b/>
          <w:bCs/>
          <w:color w:val="auto"/>
          <w:sz w:val="28"/>
          <w:highlight w:val="none"/>
          <w:lang w:val="en-US" w:eastAsia="zh-CN"/>
        </w:rPr>
      </w:pPr>
    </w:p>
    <w:p>
      <w:pPr>
        <w:rPr>
          <w:rFonts w:hint="eastAsia"/>
          <w:lang w:val="en-US" w:eastAsia="zh-CN"/>
        </w:rPr>
      </w:pPr>
    </w:p>
    <w:p>
      <w:pPr>
        <w:rPr>
          <w:rFonts w:hint="eastAsia"/>
          <w:lang w:val="en-US" w:eastAsia="zh-CN"/>
        </w:rPr>
      </w:pPr>
    </w:p>
    <w:p>
      <w:pPr>
        <w:rPr>
          <w:rFonts w:hint="eastAsia" w:ascii="黑体" w:hAnsi="宋体" w:eastAsia="黑体"/>
          <w:b/>
          <w:color w:val="auto"/>
          <w:sz w:val="36"/>
          <w:szCs w:val="22"/>
          <w:highlight w:val="none"/>
        </w:rPr>
      </w:pPr>
      <w:r>
        <w:rPr>
          <w:rFonts w:hint="eastAsia" w:ascii="黑体" w:hAnsi="宋体" w:eastAsia="黑体"/>
          <w:b/>
          <w:color w:val="auto"/>
          <w:sz w:val="36"/>
          <w:szCs w:val="22"/>
          <w:highlight w:val="none"/>
        </w:rPr>
        <w:br w:type="page"/>
      </w:r>
    </w:p>
    <w:p>
      <w:pPr>
        <w:spacing w:line="360" w:lineRule="auto"/>
        <w:jc w:val="center"/>
        <w:rPr>
          <w:rFonts w:hint="eastAsia" w:ascii="黑体" w:hAnsi="宋体" w:eastAsia="黑体"/>
          <w:b/>
          <w:color w:val="auto"/>
          <w:sz w:val="36"/>
          <w:szCs w:val="22"/>
          <w:highlight w:val="none"/>
        </w:rPr>
      </w:pPr>
      <w:r>
        <w:rPr>
          <w:rFonts w:hint="eastAsia" w:ascii="宋体" w:hAnsi="宋体" w:eastAsia="宋体" w:cs="Times New Roman"/>
          <w:b/>
          <w:bCs/>
          <w:color w:val="auto"/>
          <w:sz w:val="28"/>
          <w:highlight w:val="none"/>
          <w:lang w:val="en-US" w:eastAsia="zh-CN"/>
        </w:rPr>
        <w:t>附件1：项目技术要求</w:t>
      </w:r>
      <w:r>
        <w:rPr>
          <w:rFonts w:hint="eastAsia" w:ascii="宋体" w:hAnsi="宋体" w:cs="Times New Roman"/>
          <w:b/>
          <w:bCs/>
          <w:color w:val="auto"/>
          <w:sz w:val="28"/>
          <w:highlight w:val="none"/>
          <w:lang w:val="en-US" w:eastAsia="zh-CN"/>
        </w:rPr>
        <w:t>（详细要求）</w:t>
      </w:r>
    </w:p>
    <w:p>
      <w:pPr>
        <w:rPr>
          <w:rFonts w:hint="eastAsia" w:ascii="黑体" w:hAnsi="宋体" w:eastAsia="黑体"/>
          <w:b/>
          <w:color w:val="auto"/>
          <w:sz w:val="36"/>
          <w:szCs w:val="22"/>
          <w:highlight w:val="none"/>
        </w:rPr>
      </w:pPr>
      <w:r>
        <w:rPr>
          <w:rFonts w:hint="eastAsia" w:ascii="黑体" w:hAnsi="宋体" w:eastAsia="黑体"/>
          <w:b/>
          <w:color w:val="auto"/>
          <w:sz w:val="36"/>
          <w:szCs w:val="22"/>
          <w:highlight w:val="none"/>
        </w:rPr>
        <w:br w:type="page"/>
      </w:r>
    </w:p>
    <w:tbl>
      <w:tblPr>
        <w:tblStyle w:val="60"/>
        <w:tblpPr w:leftFromText="180" w:rightFromText="180" w:vertAnchor="text" w:horzAnchor="margin" w:tblpY="632"/>
        <w:tblW w:w="9039" w:type="dxa"/>
        <w:tblInd w:w="0" w:type="dxa"/>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
      <w:tblGrid>
        <w:gridCol w:w="2235"/>
        <w:gridCol w:w="2126"/>
        <w:gridCol w:w="283"/>
        <w:gridCol w:w="2127"/>
        <w:gridCol w:w="29"/>
        <w:gridCol w:w="679"/>
        <w:gridCol w:w="1560"/>
      </w:tblGrid>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4706" w:hRule="exact"/>
        </w:trPr>
        <w:tc>
          <w:tcPr>
            <w:tcW w:w="9039" w:type="dxa"/>
            <w:gridSpan w:val="7"/>
            <w:tcBorders>
              <w:bottom w:val="single" w:color="auto" w:sz="12" w:space="0"/>
            </w:tcBorders>
            <w:shd w:val="clear" w:color="auto" w:fill="auto"/>
            <w:vAlign w:val="center"/>
          </w:tcPr>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default" w:ascii="黑体" w:hAnsi="黑体" w:eastAsia="黑体"/>
                <w:sz w:val="36"/>
                <w:szCs w:val="36"/>
              </w:rPr>
              <w:t>KPC18-02型控制器</w:t>
            </w:r>
          </w:p>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default" w:ascii="黑体" w:hAnsi="黑体" w:eastAsia="黑体"/>
                <w:sz w:val="36"/>
                <w:szCs w:val="36"/>
              </w:rPr>
              <w:t>技术条件</w:t>
            </w:r>
          </w:p>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eastAsia" w:ascii="黑体" w:hAnsi="黑体" w:eastAsia="黑体"/>
                <w:sz w:val="36"/>
                <w:szCs w:val="36"/>
              </w:rPr>
              <w:t>TR000574</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2235" w:type="dxa"/>
            <w:tcBorders>
              <w:top w:val="single" w:color="auto" w:sz="12"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所属部门</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default"/>
              </w:rPr>
              <w:t>Responsible</w:t>
            </w:r>
            <w:r>
              <w:rPr>
                <w:rFonts w:hint="eastAsia"/>
              </w:rPr>
              <w:t xml:space="preserve"> Division</w:t>
            </w:r>
          </w:p>
        </w:tc>
        <w:tc>
          <w:tcPr>
            <w:tcW w:w="24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文件类型</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Document Type</w:t>
            </w:r>
          </w:p>
        </w:tc>
        <w:tc>
          <w:tcPr>
            <w:tcW w:w="2156"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CP编号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CP Number</w:t>
            </w:r>
          </w:p>
        </w:tc>
        <w:tc>
          <w:tcPr>
            <w:tcW w:w="2239" w:type="dxa"/>
            <w:gridSpan w:val="2"/>
            <w:tcBorders>
              <w:top w:val="single" w:color="auto" w:sz="12" w:space="0"/>
              <w:left w:val="single" w:color="auto" w:sz="4" w:space="0"/>
              <w:bottom w:val="single" w:color="auto" w:sz="8"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项目代号</w:t>
            </w:r>
          </w:p>
          <w:p>
            <w:pPr>
              <w:pStyle w:val="189"/>
              <w:keepNext w:val="0"/>
              <w:keepLines w:val="0"/>
              <w:framePr w:hSpace="0" w:wrap="auto" w:vAnchor="margin" w:hAnchor="text" w:yAlign="inline"/>
              <w:suppressLineNumbers w:val="0"/>
              <w:spacing w:before="0" w:beforeAutospacing="0" w:after="0" w:afterAutospacing="0"/>
              <w:ind w:left="0" w:right="0"/>
              <w:rPr>
                <w:rFonts w:hint="default" w:ascii="宋体" w:hAnsi="宋体"/>
              </w:rPr>
            </w:pPr>
            <w:r>
              <w:rPr>
                <w:rFonts w:hint="eastAsia"/>
              </w:rPr>
              <w:t>Project Number</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2235" w:type="dxa"/>
            <w:tcBorders>
              <w:top w:val="single" w:color="auto" w:sz="8"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研发中心</w:t>
            </w:r>
          </w:p>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default"/>
              </w:rPr>
              <w:t>R&amp;D</w:t>
            </w:r>
            <w:r>
              <w:rPr>
                <w:rFonts w:hint="eastAsia"/>
              </w:rPr>
              <w:t xml:space="preserve"> Department</w:t>
            </w:r>
          </w:p>
        </w:tc>
        <w:tc>
          <w:tcPr>
            <w:tcW w:w="2409" w:type="dxa"/>
            <w:gridSpan w:val="2"/>
            <w:tcBorders>
              <w:top w:val="single" w:color="auto" w:sz="8" w:space="0"/>
              <w:left w:val="single" w:color="auto" w:sz="4"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技术条件</w:t>
            </w:r>
          </w:p>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Technical Requirement</w:t>
            </w:r>
          </w:p>
        </w:tc>
        <w:tc>
          <w:tcPr>
            <w:tcW w:w="2156" w:type="dxa"/>
            <w:gridSpan w:val="2"/>
            <w:tcBorders>
              <w:top w:val="single" w:color="auto" w:sz="8" w:space="0"/>
              <w:left w:val="single" w:color="auto" w:sz="4"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w:t>
            </w:r>
          </w:p>
        </w:tc>
        <w:tc>
          <w:tcPr>
            <w:tcW w:w="2239" w:type="dxa"/>
            <w:gridSpan w:val="2"/>
            <w:tcBorders>
              <w:top w:val="single" w:color="auto" w:sz="8" w:space="0"/>
              <w:left w:val="single" w:color="auto" w:sz="4" w:space="0"/>
              <w:bottom w:val="single" w:color="auto" w:sz="12"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4526" w:hRule="atLeast"/>
        </w:trPr>
        <w:tc>
          <w:tcPr>
            <w:tcW w:w="9039" w:type="dxa"/>
            <w:gridSpan w:val="7"/>
            <w:tcBorders>
              <w:top w:val="single" w:color="auto" w:sz="12" w:space="0"/>
              <w:bottom w:val="single" w:color="auto" w:sz="12" w:space="0"/>
            </w:tcBorders>
            <w:shd w:val="clear" w:color="auto" w:fill="auto"/>
          </w:tcPr>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编制</w:t>
            </w:r>
            <w:r>
              <w:rPr>
                <w:rFonts w:hint="eastAsia" w:ascii="Calibri" w:hAnsi="Calibri"/>
                <w:b/>
                <w:sz w:val="21"/>
                <w:szCs w:val="21"/>
              </w:rPr>
              <w:t>Written by：</w:t>
            </w:r>
            <w:r>
              <w:rPr>
                <w:rFonts w:hint="default" w:ascii="Calibri" w:hAnsi="Calibri"/>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r>
              <w:rPr>
                <w:rFonts w:hint="eastAsia"/>
                <w:b/>
                <w:szCs w:val="20"/>
              </w:rPr>
              <w:t xml:space="preserve">                  </w:t>
            </w:r>
            <w:r>
              <w:rPr>
                <w:rFonts w:hint="eastAsia"/>
                <w:szCs w:val="20"/>
                <w:u w:val="single"/>
              </w:rPr>
              <w:t xml:space="preserve">                      </w:t>
            </w:r>
            <w:r>
              <w:rPr>
                <w:rFonts w:hint="eastAsia"/>
                <w:b/>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校对</w:t>
            </w:r>
            <w:r>
              <w:rPr>
                <w:rFonts w:hint="default" w:ascii="Calibri" w:hAnsi="Calibri"/>
                <w:b/>
                <w:sz w:val="21"/>
                <w:szCs w:val="21"/>
              </w:rPr>
              <w:t>C</w:t>
            </w:r>
            <w:r>
              <w:rPr>
                <w:rFonts w:hint="eastAsia" w:ascii="Calibri" w:hAnsi="Calibri"/>
                <w:b/>
                <w:sz w:val="21"/>
                <w:szCs w:val="21"/>
              </w:rPr>
              <w:t>hecked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szCs w:val="20"/>
              </w:rPr>
            </w:pPr>
            <w:r>
              <w:rPr>
                <w:rFonts w:hint="eastAsia"/>
                <w:b/>
                <w:szCs w:val="20"/>
              </w:rPr>
              <w:t xml:space="preserve">                  </w:t>
            </w:r>
            <w:r>
              <w:rPr>
                <w:rFonts w:hint="eastAsia"/>
                <w:szCs w:val="20"/>
                <w:u w:val="single"/>
              </w:rPr>
              <w:t xml:space="preserve">                      </w:t>
            </w:r>
            <w:r>
              <w:rPr>
                <w:rFonts w:hint="eastAsia"/>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审核</w:t>
            </w:r>
            <w:r>
              <w:rPr>
                <w:rFonts w:hint="eastAsia" w:ascii="Calibri" w:hAnsi="Calibri"/>
                <w:b/>
                <w:sz w:val="21"/>
                <w:szCs w:val="21"/>
              </w:rPr>
              <w:t>Reviewed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u w:val="single"/>
              </w:rPr>
            </w:pPr>
            <w:r>
              <w:rPr>
                <w:rFonts w:hint="eastAsia"/>
                <w:b/>
                <w:szCs w:val="20"/>
              </w:rPr>
              <w:t xml:space="preserve">                  </w:t>
            </w:r>
            <w:r>
              <w:rPr>
                <w:rFonts w:hint="eastAsia"/>
                <w:szCs w:val="20"/>
                <w:u w:val="single"/>
              </w:rPr>
              <w:t xml:space="preserve">                      </w:t>
            </w:r>
            <w:r>
              <w:rPr>
                <w:rFonts w:hint="eastAsia"/>
                <w:b/>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批准</w:t>
            </w:r>
            <w:r>
              <w:rPr>
                <w:rFonts w:hint="eastAsia" w:ascii="Calibri" w:hAnsi="Calibri"/>
                <w:b/>
                <w:sz w:val="21"/>
                <w:szCs w:val="21"/>
              </w:rPr>
              <w:t>Approved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0"/>
              <w:jc w:val="left"/>
              <w:rPr>
                <w:rFonts w:hint="default"/>
                <w:szCs w:val="20"/>
                <w:u w:val="single"/>
              </w:rPr>
            </w:pPr>
            <w:r>
              <w:rPr>
                <w:rFonts w:hint="eastAsia"/>
                <w:szCs w:val="20"/>
              </w:rPr>
              <w:t xml:space="preserve">                  </w:t>
            </w:r>
            <w:r>
              <w:rPr>
                <w:rFonts w:hint="eastAsia"/>
                <w:szCs w:val="20"/>
                <w:u w:val="single"/>
              </w:rPr>
              <w:t xml:space="preserve">                      </w:t>
            </w:r>
            <w:r>
              <w:rPr>
                <w:rFonts w:hint="eastAsia"/>
                <w:szCs w:val="20"/>
              </w:rPr>
              <w:t xml:space="preserve">     </w:t>
            </w:r>
            <w:r>
              <w:rPr>
                <w:rFonts w:hint="eastAsia"/>
                <w:szCs w:val="20"/>
                <w:u w:val="single"/>
              </w:rPr>
              <w:t xml:space="preserve">          </w:t>
            </w:r>
          </w:p>
          <w:p>
            <w:pPr>
              <w:keepNext w:val="0"/>
              <w:keepLines w:val="0"/>
              <w:suppressLineNumbers w:val="0"/>
              <w:spacing w:before="0" w:beforeAutospacing="0" w:after="0" w:afterAutospacing="0" w:line="360" w:lineRule="auto"/>
              <w:ind w:left="0" w:right="0" w:firstLine="480"/>
              <w:jc w:val="left"/>
              <w:rPr>
                <w:rFonts w:hint="default"/>
                <w:szCs w:val="20"/>
              </w:rPr>
            </w:pPr>
            <w:r>
              <w:rPr>
                <w:rFonts w:hint="eastAsia"/>
                <w:szCs w:val="20"/>
              </w:rPr>
              <w:t xml:space="preserve">                       </w:t>
            </w:r>
            <w:r>
              <w:rPr>
                <w:rFonts w:hint="eastAsia" w:ascii="宋体" w:hAnsi="宋体"/>
                <w:sz w:val="21"/>
                <w:szCs w:val="21"/>
              </w:rPr>
              <w:t>签字</w:t>
            </w:r>
            <w:r>
              <w:rPr>
                <w:rFonts w:hint="eastAsia" w:ascii="Calibri" w:hAnsi="Calibri"/>
                <w:sz w:val="21"/>
                <w:szCs w:val="21"/>
              </w:rPr>
              <w:t>（Signature）</w:t>
            </w:r>
            <w:r>
              <w:rPr>
                <w:rFonts w:hint="eastAsia"/>
                <w:szCs w:val="20"/>
              </w:rPr>
              <w:t xml:space="preserve">           </w:t>
            </w:r>
            <w:r>
              <w:rPr>
                <w:rFonts w:hint="eastAsia" w:ascii="宋体" w:hAnsi="宋体"/>
                <w:sz w:val="21"/>
                <w:szCs w:val="21"/>
              </w:rPr>
              <w:t>日期</w:t>
            </w:r>
            <w:r>
              <w:rPr>
                <w:rFonts w:hint="eastAsia" w:ascii="Calibri" w:hAnsi="Calibri"/>
                <w:sz w:val="21"/>
                <w:szCs w:val="21"/>
              </w:rPr>
              <w:t>（Date）</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1030" w:hRule="exact"/>
        </w:trPr>
        <w:tc>
          <w:tcPr>
            <w:tcW w:w="4361" w:type="dxa"/>
            <w:gridSpan w:val="2"/>
            <w:vMerge w:val="restart"/>
            <w:tcBorders>
              <w:top w:val="single" w:color="auto" w:sz="12" w:space="0"/>
              <w:right w:val="single" w:color="auto" w:sz="4" w:space="0"/>
            </w:tcBorders>
            <w:shd w:val="clear" w:color="auto" w:fill="auto"/>
          </w:tcPr>
          <w:p>
            <w:pPr>
              <w:pStyle w:val="156"/>
              <w:keepNext w:val="0"/>
              <w:keepLines w:val="0"/>
              <w:widowControl/>
              <w:suppressLineNumbers w:val="0"/>
              <w:spacing w:beforeAutospacing="0" w:after="0" w:afterAutospacing="0"/>
              <w:ind w:left="0" w:right="0"/>
              <w:jc w:val="left"/>
              <w:rPr>
                <w:rFonts w:hint="default"/>
                <w:bCs/>
                <w:sz w:val="18"/>
                <w:szCs w:val="18"/>
              </w:rPr>
            </w:pPr>
            <w:r>
              <w:rPr>
                <w:rFonts w:hint="eastAsia"/>
                <w:sz w:val="18"/>
                <w:szCs w:val="18"/>
              </w:rPr>
              <w:t>本技术资料版权归石家庄国祥运输设备有限公司所有，未经本公司许可，不得向第三方泄漏，不得复制或公开发表。</w:t>
            </w:r>
          </w:p>
          <w:p>
            <w:pPr>
              <w:pStyle w:val="156"/>
              <w:keepNext w:val="0"/>
              <w:keepLines w:val="0"/>
              <w:widowControl/>
              <w:suppressLineNumbers w:val="0"/>
              <w:spacing w:beforeAutospacing="0" w:after="0" w:afterAutospacing="0"/>
              <w:ind w:left="0" w:right="0"/>
              <w:jc w:val="left"/>
              <w:rPr>
                <w:rFonts w:hint="default"/>
              </w:rPr>
            </w:pPr>
            <w:r>
              <w:rPr>
                <w:rFonts w:hint="default"/>
                <w:sz w:val="18"/>
                <w:szCs w:val="18"/>
              </w:rPr>
              <w:t>This document and its contents are the property of Shijiazhuang KING Transportation Equipment CO., LTD., or its subsidiaries. This document contains confidential proprietary information. The reproduction, distribution, utilization or the communication of this document or any part thereof, without express authorization is strictly prohibited.</w:t>
            </w:r>
          </w:p>
        </w:tc>
        <w:tc>
          <w:tcPr>
            <w:tcW w:w="4678" w:type="dxa"/>
            <w:gridSpan w:val="5"/>
            <w:tcBorders>
              <w:top w:val="single" w:color="auto" w:sz="12" w:space="0"/>
              <w:left w:val="single" w:color="auto" w:sz="4" w:space="0"/>
            </w:tcBorders>
            <w:shd w:val="clear" w:color="auto" w:fill="auto"/>
          </w:tcPr>
          <w:p>
            <w:pPr>
              <w:keepNext w:val="0"/>
              <w:keepLines w:val="0"/>
              <w:suppressLineNumbers w:val="0"/>
              <w:spacing w:before="0" w:beforeAutospacing="0" w:after="0" w:afterAutospacing="0"/>
              <w:ind w:left="0" w:right="0" w:firstLine="422"/>
              <w:jc w:val="left"/>
              <w:rPr>
                <w:rFonts w:hint="default" w:ascii="Calibri" w:hAnsi="Calibri"/>
                <w:b/>
                <w:sz w:val="21"/>
                <w:szCs w:val="21"/>
              </w:rPr>
            </w:pPr>
            <w:r>
              <w:rPr>
                <w:rFonts w:hint="eastAsia" w:ascii="宋体" w:hAnsi="宋体"/>
                <w:b/>
                <w:sz w:val="21"/>
                <w:szCs w:val="21"/>
              </w:rPr>
              <w:t>内部</w:t>
            </w:r>
            <w:r>
              <w:rPr>
                <w:rFonts w:hint="default" w:ascii="宋体" w:hAnsi="宋体"/>
                <w:b/>
                <w:sz w:val="21"/>
                <w:szCs w:val="21"/>
              </w:rPr>
              <w:t>文件编号</w:t>
            </w:r>
            <w:r>
              <w:rPr>
                <w:rFonts w:hint="eastAsia" w:ascii="Calibri" w:hAnsi="Calibri"/>
                <w:b/>
                <w:sz w:val="21"/>
                <w:szCs w:val="21"/>
              </w:rPr>
              <w:t>Internal Document No.</w:t>
            </w:r>
          </w:p>
          <w:p>
            <w:pPr>
              <w:keepNext w:val="0"/>
              <w:keepLines w:val="0"/>
              <w:suppressLineNumbers w:val="0"/>
              <w:spacing w:before="120" w:beforeAutospacing="0" w:after="0" w:afterAutospacing="0" w:line="360" w:lineRule="auto"/>
              <w:ind w:left="0" w:right="0" w:firstLine="643"/>
              <w:jc w:val="center"/>
              <w:rPr>
                <w:rFonts w:hint="default" w:ascii="Calibri" w:hAnsi="Calibri"/>
                <w:b/>
                <w:sz w:val="32"/>
                <w:szCs w:val="32"/>
              </w:rPr>
            </w:pP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695" w:hRule="exact"/>
        </w:trPr>
        <w:tc>
          <w:tcPr>
            <w:tcW w:w="4361" w:type="dxa"/>
            <w:gridSpan w:val="2"/>
            <w:vMerge w:val="continue"/>
            <w:tcBorders>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firstLine="480"/>
              <w:jc w:val="center"/>
              <w:rPr>
                <w:rFonts w:hint="default"/>
                <w:szCs w:val="20"/>
              </w:rPr>
            </w:pPr>
          </w:p>
        </w:tc>
        <w:tc>
          <w:tcPr>
            <w:tcW w:w="2410" w:type="dxa"/>
            <w:gridSpan w:val="2"/>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客户文件编号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Customer Document No.</w:t>
            </w:r>
          </w:p>
        </w:tc>
        <w:tc>
          <w:tcPr>
            <w:tcW w:w="708" w:type="dxa"/>
            <w:gridSpan w:val="2"/>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版本</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Rev.</w:t>
            </w:r>
          </w:p>
        </w:tc>
        <w:tc>
          <w:tcPr>
            <w:tcW w:w="1560" w:type="dxa"/>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客户代号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Customer Code</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4361" w:type="dxa"/>
            <w:gridSpan w:val="2"/>
            <w:vMerge w:val="continue"/>
            <w:tcBorders>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firstLine="480"/>
              <w:jc w:val="center"/>
              <w:rPr>
                <w:rFonts w:hint="default"/>
                <w:szCs w:val="20"/>
              </w:rPr>
            </w:pPr>
          </w:p>
        </w:tc>
        <w:tc>
          <w:tcPr>
            <w:tcW w:w="2410" w:type="dxa"/>
            <w:gridSpan w:val="2"/>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r>
              <w:rPr>
                <w:rFonts w:hint="eastAsia"/>
                <w:szCs w:val="20"/>
              </w:rPr>
              <w:t>/</w:t>
            </w:r>
          </w:p>
        </w:tc>
        <w:tc>
          <w:tcPr>
            <w:tcW w:w="708" w:type="dxa"/>
            <w:gridSpan w:val="2"/>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p>
        </w:tc>
        <w:tc>
          <w:tcPr>
            <w:tcW w:w="1560" w:type="dxa"/>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r>
              <w:rPr>
                <w:rFonts w:hint="eastAsia"/>
                <w:szCs w:val="20"/>
              </w:rPr>
              <w:t>/</w:t>
            </w:r>
          </w:p>
        </w:tc>
      </w:tr>
    </w:tbl>
    <w:p>
      <w:pPr>
        <w:ind w:firstLine="480"/>
      </w:pPr>
    </w:p>
    <w:p>
      <w:pPr>
        <w:ind w:firstLine="480"/>
      </w:pPr>
    </w:p>
    <w:p>
      <w:pPr>
        <w:ind w:firstLine="480"/>
      </w:pPr>
    </w:p>
    <w:p>
      <w:pPr>
        <w:pStyle w:val="43"/>
        <w:ind w:firstLine="643"/>
      </w:pPr>
      <w:r>
        <w:rPr>
          <w:rFonts w:hint="eastAsia"/>
        </w:rPr>
        <w:t>历史记录</w:t>
      </w:r>
    </w:p>
    <w:p>
      <w:pPr>
        <w:pStyle w:val="43"/>
        <w:ind w:firstLine="643"/>
        <w:rPr>
          <w:bCs/>
        </w:rPr>
      </w:pPr>
      <w:r>
        <w:t>Revision Log</w:t>
      </w:r>
    </w:p>
    <w:p>
      <w:pPr>
        <w:adjustRightInd w:val="0"/>
        <w:snapToGrid w:val="0"/>
        <w:ind w:firstLine="544"/>
        <w:jc w:val="center"/>
        <w:rPr>
          <w:rFonts w:ascii="Arial" w:hAnsi="Arial" w:cs="Arial"/>
          <w:spacing w:val="16"/>
        </w:rPr>
      </w:pPr>
    </w:p>
    <w:tbl>
      <w:tblPr>
        <w:tblStyle w:val="60"/>
        <w:tblW w:w="88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349"/>
        <w:gridCol w:w="165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版本</w:t>
            </w:r>
          </w:p>
          <w:p>
            <w:pPr>
              <w:pStyle w:val="156"/>
              <w:keepNext w:val="0"/>
              <w:keepLines w:val="0"/>
              <w:widowControl/>
              <w:suppressLineNumbers w:val="0"/>
              <w:spacing w:beforeAutospacing="0" w:after="0" w:afterAutospacing="0"/>
              <w:ind w:left="0" w:right="0"/>
              <w:rPr>
                <w:rFonts w:hint="default"/>
              </w:rPr>
            </w:pPr>
            <w:r>
              <w:rPr>
                <w:rFonts w:hint="default"/>
              </w:rPr>
              <w:t>Revision</w:t>
            </w:r>
          </w:p>
        </w:tc>
        <w:tc>
          <w:tcPr>
            <w:tcW w:w="4349"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更改描述</w:t>
            </w:r>
          </w:p>
          <w:p>
            <w:pPr>
              <w:pStyle w:val="156"/>
              <w:keepNext w:val="0"/>
              <w:keepLines w:val="0"/>
              <w:widowControl/>
              <w:suppressLineNumbers w:val="0"/>
              <w:spacing w:beforeAutospacing="0" w:after="0" w:afterAutospacing="0"/>
              <w:ind w:left="0" w:right="0"/>
              <w:rPr>
                <w:rFonts w:hint="default"/>
              </w:rPr>
            </w:pPr>
            <w:r>
              <w:rPr>
                <w:rFonts w:hint="default"/>
              </w:rPr>
              <w:t>Description</w:t>
            </w:r>
          </w:p>
        </w:tc>
        <w:tc>
          <w:tcPr>
            <w:tcW w:w="1650"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作者</w:t>
            </w:r>
          </w:p>
          <w:p>
            <w:pPr>
              <w:pStyle w:val="156"/>
              <w:keepNext w:val="0"/>
              <w:keepLines w:val="0"/>
              <w:widowControl/>
              <w:suppressLineNumbers w:val="0"/>
              <w:spacing w:beforeAutospacing="0" w:after="0" w:afterAutospacing="0"/>
              <w:ind w:left="0" w:right="0"/>
              <w:rPr>
                <w:rFonts w:hint="default"/>
              </w:rPr>
            </w:pPr>
            <w:r>
              <w:rPr>
                <w:rFonts w:hint="default"/>
              </w:rPr>
              <w:t>Author</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日期</w:t>
            </w:r>
          </w:p>
          <w:p>
            <w:pPr>
              <w:pStyle w:val="156"/>
              <w:keepNext w:val="0"/>
              <w:keepLines w:val="0"/>
              <w:widowControl/>
              <w:suppressLineNumbers w:val="0"/>
              <w:spacing w:beforeAutospacing="0" w:after="0" w:afterAutospacing="0"/>
              <w:ind w:left="0" w:right="0"/>
              <w:rPr>
                <w:rFonts w:hint="default"/>
              </w:rPr>
            </w:pPr>
            <w:r>
              <w:rPr>
                <w:rFonts w:hint="default"/>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A</w:t>
            </w:r>
          </w:p>
        </w:tc>
        <w:tc>
          <w:tcPr>
            <w:tcW w:w="4349"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初版</w:t>
            </w:r>
          </w:p>
        </w:tc>
        <w:tc>
          <w:tcPr>
            <w:tcW w:w="1650"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r>
              <w:rPr>
                <w:rFonts w:hint="default"/>
              </w:rPr>
              <w:t>019.11.21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B</w:t>
            </w:r>
          </w:p>
        </w:tc>
        <w:tc>
          <w:tcPr>
            <w:tcW w:w="4349"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rPr>
              <w:t>修改4</w:t>
            </w:r>
            <w:r>
              <w:rPr>
                <w:rFonts w:hint="default"/>
              </w:rPr>
              <w:t>.3</w:t>
            </w:r>
            <w:r>
              <w:rPr>
                <w:rFonts w:hint="eastAsia"/>
              </w:rPr>
              <w:t>节内容 最大波特率支持</w:t>
            </w:r>
            <w:r>
              <w:rPr>
                <w:rFonts w:hint="default"/>
              </w:rPr>
              <w:t>115200bps/隔离</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r>
              <w:rPr>
                <w:rFonts w:hint="default"/>
              </w:rPr>
              <w:t>020.01.20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C</w:t>
            </w:r>
          </w:p>
        </w:tc>
        <w:tc>
          <w:tcPr>
            <w:tcW w:w="4349"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更改MTBF值为2</w:t>
            </w:r>
            <w:r>
              <w:rPr>
                <w:rFonts w:hint="default"/>
              </w:rPr>
              <w:t>00000</w:t>
            </w:r>
            <w:r>
              <w:rPr>
                <w:rFonts w:hint="eastAsia"/>
              </w:rPr>
              <w:t>小时</w:t>
            </w:r>
          </w:p>
        </w:tc>
        <w:tc>
          <w:tcPr>
            <w:tcW w:w="1650"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r>
              <w:rPr>
                <w:rFonts w:hint="default"/>
              </w:rPr>
              <w:t>020.03.27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E</w:t>
            </w:r>
          </w:p>
        </w:tc>
        <w:tc>
          <w:tcPr>
            <w:tcW w:w="4349" w:type="dxa"/>
            <w:vAlign w:val="center"/>
          </w:tcPr>
          <w:p>
            <w:pPr>
              <w:pStyle w:val="156"/>
              <w:keepNext w:val="0"/>
              <w:keepLines w:val="0"/>
              <w:widowControl/>
              <w:numPr>
                <w:ilvl w:val="0"/>
                <w:numId w:val="9"/>
              </w:numPr>
              <w:suppressLineNumbers w:val="0"/>
              <w:spacing w:beforeAutospacing="0" w:after="0" w:afterAutospacing="0"/>
              <w:ind w:right="0"/>
              <w:jc w:val="left"/>
              <w:rPr>
                <w:rFonts w:hint="default"/>
                <w:color w:val="FF0000"/>
              </w:rPr>
            </w:pPr>
            <w:r>
              <w:rPr>
                <w:rFonts w:hint="eastAsia"/>
                <w:color w:val="FF0000"/>
              </w:rPr>
              <w:t>适用范围增加两种KPC18-02控制器；</w:t>
            </w:r>
          </w:p>
          <w:p>
            <w:pPr>
              <w:pStyle w:val="156"/>
              <w:keepNext w:val="0"/>
              <w:keepLines w:val="0"/>
              <w:widowControl/>
              <w:numPr>
                <w:ilvl w:val="0"/>
                <w:numId w:val="9"/>
              </w:numPr>
              <w:suppressLineNumbers w:val="0"/>
              <w:spacing w:beforeAutospacing="0" w:after="0" w:afterAutospacing="0"/>
              <w:ind w:right="0"/>
              <w:jc w:val="left"/>
              <w:rPr>
                <w:rFonts w:hint="default"/>
                <w:color w:val="FF0000"/>
              </w:rPr>
            </w:pPr>
            <w:r>
              <w:rPr>
                <w:rFonts w:hint="eastAsia"/>
                <w:color w:val="FF0000"/>
              </w:rPr>
              <w:t>修正参考标准</w:t>
            </w:r>
          </w:p>
          <w:p>
            <w:pPr>
              <w:pStyle w:val="156"/>
              <w:keepNext w:val="0"/>
              <w:keepLines w:val="0"/>
              <w:widowControl/>
              <w:numPr>
                <w:ilvl w:val="0"/>
                <w:numId w:val="9"/>
              </w:numPr>
              <w:suppressLineNumbers w:val="0"/>
              <w:spacing w:beforeAutospacing="0" w:after="0" w:afterAutospacing="0"/>
              <w:ind w:right="0"/>
              <w:jc w:val="left"/>
              <w:rPr>
                <w:rFonts w:hint="default"/>
                <w:color w:val="FF0000"/>
              </w:rPr>
            </w:pPr>
            <w:r>
              <w:rPr>
                <w:rFonts w:hint="eastAsia"/>
                <w:color w:val="FF0000"/>
              </w:rPr>
              <w:t>修改测试要求</w:t>
            </w:r>
          </w:p>
          <w:p>
            <w:pPr>
              <w:pStyle w:val="156"/>
              <w:keepNext w:val="0"/>
              <w:keepLines w:val="0"/>
              <w:widowControl/>
              <w:numPr>
                <w:ilvl w:val="0"/>
                <w:numId w:val="9"/>
              </w:numPr>
              <w:suppressLineNumbers w:val="0"/>
              <w:spacing w:beforeAutospacing="0" w:after="0" w:afterAutospacing="0"/>
              <w:ind w:right="0"/>
              <w:jc w:val="left"/>
              <w:rPr>
                <w:rFonts w:hint="default"/>
                <w:color w:val="FF0000"/>
              </w:rPr>
            </w:pPr>
            <w:r>
              <w:rPr>
                <w:rFonts w:hint="eastAsia"/>
                <w:color w:val="FF0000"/>
              </w:rPr>
              <w:t>修改软件要求</w:t>
            </w:r>
          </w:p>
          <w:p>
            <w:pPr>
              <w:pStyle w:val="156"/>
              <w:keepNext w:val="0"/>
              <w:keepLines w:val="0"/>
              <w:widowControl/>
              <w:numPr>
                <w:ilvl w:val="0"/>
                <w:numId w:val="9"/>
              </w:numPr>
              <w:suppressLineNumbers w:val="0"/>
              <w:spacing w:beforeAutospacing="0" w:after="0" w:afterAutospacing="0"/>
              <w:ind w:right="0"/>
              <w:jc w:val="left"/>
              <w:rPr>
                <w:rFonts w:hint="default"/>
                <w:color w:val="FF0000"/>
              </w:rPr>
            </w:pPr>
            <w:r>
              <w:rPr>
                <w:rFonts w:hint="eastAsia"/>
                <w:color w:val="FF0000"/>
              </w:rPr>
              <w:t>增加文件清单</w:t>
            </w:r>
          </w:p>
          <w:p>
            <w:pPr>
              <w:pStyle w:val="156"/>
              <w:keepNext w:val="0"/>
              <w:keepLines w:val="0"/>
              <w:widowControl/>
              <w:numPr>
                <w:ilvl w:val="0"/>
                <w:numId w:val="9"/>
              </w:numPr>
              <w:suppressLineNumbers w:val="0"/>
              <w:spacing w:beforeAutospacing="0" w:after="0" w:afterAutospacing="0"/>
              <w:ind w:right="0"/>
              <w:jc w:val="left"/>
              <w:rPr>
                <w:rFonts w:hint="default"/>
                <w:color w:val="FF0000"/>
              </w:rPr>
            </w:pPr>
            <w:r>
              <w:rPr>
                <w:rFonts w:hint="default"/>
                <w:color w:val="FF0000"/>
              </w:rPr>
              <w:t>增加附录</w:t>
            </w:r>
            <w:r>
              <w:rPr>
                <w:rFonts w:hint="eastAsia"/>
                <w:color w:val="FF0000"/>
              </w:rPr>
              <w:t>1-4</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color w:val="FF0000"/>
              </w:rPr>
            </w:pPr>
            <w:r>
              <w:rPr>
                <w:rFonts w:hint="default" w:ascii="宋体" w:hAnsi="宋体"/>
                <w:color w:val="FF0000"/>
              </w:rPr>
              <w:t>马秋香</w:t>
            </w:r>
          </w:p>
        </w:tc>
        <w:tc>
          <w:tcPr>
            <w:tcW w:w="1557" w:type="dxa"/>
            <w:vAlign w:val="center"/>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2022.8.3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color w:val="0000FF"/>
              </w:rPr>
            </w:pPr>
            <w:r>
              <w:rPr>
                <w:rFonts w:hint="eastAsia"/>
                <w:color w:val="0000FF"/>
              </w:rPr>
              <w:t>F</w:t>
            </w:r>
          </w:p>
        </w:tc>
        <w:tc>
          <w:tcPr>
            <w:tcW w:w="4349" w:type="dxa"/>
            <w:vAlign w:val="center"/>
          </w:tcPr>
          <w:p>
            <w:pPr>
              <w:pStyle w:val="156"/>
              <w:keepNext w:val="0"/>
              <w:keepLines w:val="0"/>
              <w:widowControl/>
              <w:suppressLineNumbers w:val="0"/>
              <w:spacing w:beforeAutospacing="0" w:after="0" w:afterAutospacing="0"/>
              <w:ind w:left="0" w:right="0"/>
              <w:jc w:val="left"/>
              <w:rPr>
                <w:rFonts w:hint="default"/>
                <w:color w:val="0000FF"/>
              </w:rPr>
            </w:pPr>
            <w:r>
              <w:rPr>
                <w:rFonts w:hint="eastAsia"/>
                <w:color w:val="0000FF"/>
              </w:rPr>
              <w:t>1.修正供货范围信息。</w:t>
            </w:r>
          </w:p>
          <w:p>
            <w:pPr>
              <w:pStyle w:val="156"/>
              <w:keepNext w:val="0"/>
              <w:keepLines w:val="0"/>
              <w:widowControl/>
              <w:suppressLineNumbers w:val="0"/>
              <w:spacing w:beforeAutospacing="0" w:after="0" w:afterAutospacing="0"/>
              <w:ind w:left="0" w:right="0"/>
              <w:jc w:val="left"/>
              <w:rPr>
                <w:rFonts w:hint="default"/>
                <w:color w:val="0000FF"/>
              </w:rPr>
            </w:pPr>
            <w:r>
              <w:rPr>
                <w:rFonts w:hint="eastAsia"/>
                <w:color w:val="0000FF"/>
              </w:rPr>
              <w:t>2.修正4.3和5.3中配置资源信息。</w:t>
            </w:r>
          </w:p>
          <w:p>
            <w:pPr>
              <w:pStyle w:val="156"/>
              <w:keepNext w:val="0"/>
              <w:keepLines w:val="0"/>
              <w:widowControl/>
              <w:suppressLineNumbers w:val="0"/>
              <w:spacing w:beforeAutospacing="0" w:after="0" w:afterAutospacing="0"/>
              <w:ind w:left="0" w:right="0"/>
              <w:jc w:val="left"/>
              <w:rPr>
                <w:rFonts w:hint="default"/>
                <w:color w:val="0000FF"/>
              </w:rPr>
            </w:pPr>
            <w:r>
              <w:rPr>
                <w:rFonts w:hint="eastAsia"/>
                <w:color w:val="0000FF"/>
              </w:rPr>
              <w:t>3.修正附录表17中产品的端口定义。</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color w:val="0000FF"/>
              </w:rPr>
            </w:pPr>
            <w:r>
              <w:rPr>
                <w:rFonts w:hint="eastAsia" w:ascii="宋体" w:hAnsi="宋体"/>
                <w:color w:val="0000FF"/>
              </w:rPr>
              <w:t>马秋香</w:t>
            </w:r>
          </w:p>
        </w:tc>
        <w:tc>
          <w:tcPr>
            <w:tcW w:w="1557" w:type="dxa"/>
            <w:vAlign w:val="center"/>
          </w:tcPr>
          <w:p>
            <w:pPr>
              <w:pStyle w:val="156"/>
              <w:keepNext w:val="0"/>
              <w:keepLines w:val="0"/>
              <w:widowControl/>
              <w:suppressLineNumbers w:val="0"/>
              <w:spacing w:beforeAutospacing="0" w:after="0" w:afterAutospacing="0"/>
              <w:ind w:left="0" w:right="0"/>
              <w:rPr>
                <w:rFonts w:hint="default"/>
                <w:color w:val="0000FF"/>
              </w:rPr>
            </w:pPr>
            <w:r>
              <w:rPr>
                <w:rFonts w:hint="eastAsia"/>
                <w:color w:val="0000FF"/>
              </w:rPr>
              <w:t>2022.12.9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eastAsia"/>
                <w:color w:val="2F5597" w:themeColor="accent5" w:themeShade="BF"/>
              </w:rPr>
              <w:t>G</w:t>
            </w:r>
          </w:p>
        </w:tc>
        <w:tc>
          <w:tcPr>
            <w:tcW w:w="4349" w:type="dxa"/>
            <w:vAlign w:val="center"/>
          </w:tcPr>
          <w:p>
            <w:pPr>
              <w:pStyle w:val="156"/>
              <w:keepNext w:val="0"/>
              <w:keepLines w:val="0"/>
              <w:widowControl/>
              <w:suppressLineNumbers w:val="0"/>
              <w:spacing w:beforeAutospacing="0" w:after="0" w:afterAutospacing="0"/>
              <w:ind w:left="0" w:right="0"/>
              <w:jc w:val="left"/>
              <w:rPr>
                <w:rFonts w:hint="default"/>
                <w:color w:val="2F5597" w:themeColor="accent5" w:themeShade="BF"/>
              </w:rPr>
            </w:pPr>
            <w:r>
              <w:rPr>
                <w:rFonts w:hint="eastAsia"/>
                <w:color w:val="2F5597" w:themeColor="accent5" w:themeShade="BF"/>
              </w:rPr>
              <w:t>1</w:t>
            </w:r>
            <w:r>
              <w:rPr>
                <w:rFonts w:hint="default"/>
                <w:color w:val="2F5597" w:themeColor="accent5" w:themeShade="BF"/>
              </w:rPr>
              <w:t>.适用范围增加一种KPC18-02控制器</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color w:val="2F5597" w:themeColor="accent5" w:themeShade="BF"/>
              </w:rPr>
            </w:pPr>
            <w:r>
              <w:rPr>
                <w:rFonts w:hint="eastAsia" w:ascii="宋体" w:hAnsi="宋体"/>
                <w:color w:val="2F5597" w:themeColor="accent5" w:themeShade="BF"/>
              </w:rPr>
              <w:t>郝腾飞</w:t>
            </w:r>
          </w:p>
        </w:tc>
        <w:tc>
          <w:tcPr>
            <w:tcW w:w="1557" w:type="dxa"/>
            <w:vAlign w:val="center"/>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eastAsia"/>
                <w:color w:val="2F5597" w:themeColor="accent5" w:themeShade="BF"/>
              </w:rPr>
              <w:t>2</w:t>
            </w:r>
            <w:r>
              <w:rPr>
                <w:rFonts w:hint="default"/>
                <w:color w:val="2F5597" w:themeColor="accent5" w:themeShade="BF"/>
              </w:rPr>
              <w:t>022.12.28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eastAsia"/>
                <w:color w:val="2F5597" w:themeColor="accent5" w:themeShade="BF"/>
              </w:rPr>
              <w:t>H</w:t>
            </w:r>
          </w:p>
        </w:tc>
        <w:tc>
          <w:tcPr>
            <w:tcW w:w="4349" w:type="dxa"/>
            <w:vAlign w:val="center"/>
          </w:tcPr>
          <w:p>
            <w:pPr>
              <w:pStyle w:val="156"/>
              <w:keepNext w:val="0"/>
              <w:keepLines w:val="0"/>
              <w:widowControl/>
              <w:suppressLineNumbers w:val="0"/>
              <w:spacing w:beforeAutospacing="0" w:after="0" w:afterAutospacing="0"/>
              <w:ind w:left="0" w:right="0"/>
              <w:jc w:val="left"/>
              <w:rPr>
                <w:rFonts w:hint="default"/>
                <w:color w:val="2F5597" w:themeColor="accent5" w:themeShade="BF"/>
              </w:rPr>
            </w:pPr>
            <w:r>
              <w:rPr>
                <w:rFonts w:hint="eastAsia" w:asciiTheme="minorEastAsia" w:hAnsiTheme="minorEastAsia" w:eastAsiaTheme="minorEastAsia"/>
                <w:color w:val="00B050"/>
                <w:sz w:val="24"/>
              </w:rPr>
              <w:t>1</w:t>
            </w:r>
            <w:r>
              <w:rPr>
                <w:rFonts w:hint="default" w:asciiTheme="minorEastAsia" w:hAnsiTheme="minorEastAsia" w:eastAsiaTheme="minorEastAsia"/>
                <w:color w:val="00B050"/>
                <w:sz w:val="24"/>
              </w:rPr>
              <w:t>.</w:t>
            </w:r>
            <w:r>
              <w:rPr>
                <w:rFonts w:hint="eastAsia" w:asciiTheme="minorEastAsia" w:hAnsiTheme="minorEastAsia" w:eastAsiaTheme="minorEastAsia"/>
                <w:color w:val="00B050"/>
                <w:sz w:val="24"/>
              </w:rPr>
              <w:t>防插错销需发货前安装在插座和插头上。</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color w:val="00B050"/>
              </w:rPr>
            </w:pPr>
            <w:r>
              <w:rPr>
                <w:rFonts w:hint="eastAsia" w:ascii="宋体" w:hAnsi="宋体"/>
                <w:color w:val="00B050"/>
              </w:rPr>
              <w:t>郝腾飞</w:t>
            </w:r>
          </w:p>
        </w:tc>
        <w:tc>
          <w:tcPr>
            <w:tcW w:w="1557" w:type="dxa"/>
            <w:vAlign w:val="center"/>
          </w:tcPr>
          <w:p>
            <w:pPr>
              <w:pStyle w:val="156"/>
              <w:keepNext w:val="0"/>
              <w:keepLines w:val="0"/>
              <w:widowControl/>
              <w:suppressLineNumbers w:val="0"/>
              <w:spacing w:beforeAutospacing="0" w:after="0" w:afterAutospacing="0"/>
              <w:ind w:left="0" w:right="0"/>
              <w:rPr>
                <w:rFonts w:hint="default"/>
                <w:color w:val="00B050"/>
              </w:rPr>
            </w:pPr>
            <w:r>
              <w:rPr>
                <w:rFonts w:hint="eastAsia"/>
                <w:color w:val="00B050"/>
              </w:rPr>
              <w:t>2</w:t>
            </w:r>
            <w:r>
              <w:rPr>
                <w:rFonts w:hint="default"/>
                <w:color w:val="00B050"/>
              </w:rPr>
              <w:t>023.03.14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color w:val="FFD966" w:themeColor="accent4" w:themeTint="99"/>
                <w14:textFill>
                  <w14:solidFill>
                    <w14:schemeClr w14:val="accent4">
                      <w14:lumMod w14:val="60000"/>
                      <w14:lumOff w14:val="40000"/>
                    </w14:schemeClr>
                  </w14:solidFill>
                </w14:textFill>
              </w:rPr>
            </w:pPr>
            <w:r>
              <w:rPr>
                <w:rFonts w:hint="default"/>
                <w:color w:val="FFD966" w:themeColor="accent4" w:themeTint="99"/>
                <w14:textFill>
                  <w14:solidFill>
                    <w14:schemeClr w14:val="accent4">
                      <w14:lumMod w14:val="60000"/>
                      <w14:lumOff w14:val="40000"/>
                    </w14:schemeClr>
                  </w14:solidFill>
                </w14:textFill>
              </w:rPr>
              <w:t>I</w:t>
            </w:r>
          </w:p>
        </w:tc>
        <w:tc>
          <w:tcPr>
            <w:tcW w:w="4349" w:type="dxa"/>
            <w:tcBorders>
              <w:bottom w:val="single" w:color="auto" w:sz="4" w:space="0"/>
            </w:tcBorders>
            <w:vAlign w:val="center"/>
          </w:tcPr>
          <w:p>
            <w:pPr>
              <w:pStyle w:val="156"/>
              <w:keepNext w:val="0"/>
              <w:keepLines w:val="0"/>
              <w:widowControl/>
              <w:suppressLineNumbers w:val="0"/>
              <w:spacing w:beforeAutospacing="0" w:after="0" w:afterAutospacing="0"/>
              <w:ind w:left="0" w:right="0"/>
              <w:jc w:val="left"/>
              <w:rPr>
                <w:rFonts w:hint="default" w:asciiTheme="minorEastAsia" w:hAnsiTheme="minorEastAsia" w:eastAsiaTheme="minorEastAsia"/>
                <w:color w:val="FFD966" w:themeColor="accent4" w:themeTint="99"/>
                <w:sz w:val="24"/>
                <w14:textFill>
                  <w14:solidFill>
                    <w14:schemeClr w14:val="accent4">
                      <w14:lumMod w14:val="60000"/>
                      <w14:lumOff w14:val="40000"/>
                    </w14:schemeClr>
                  </w14:solidFill>
                </w14:textFill>
              </w:rPr>
            </w:pPr>
            <w:r>
              <w:rPr>
                <w:rFonts w:hint="eastAsia" w:asciiTheme="minorEastAsia" w:hAnsiTheme="minorEastAsia" w:eastAsiaTheme="minorEastAsia"/>
                <w:color w:val="FFD966" w:themeColor="accent4" w:themeTint="99"/>
                <w:sz w:val="24"/>
                <w14:textFill>
                  <w14:solidFill>
                    <w14:schemeClr w14:val="accent4">
                      <w14:lumMod w14:val="60000"/>
                      <w14:lumOff w14:val="40000"/>
                    </w14:schemeClr>
                  </w14:solidFill>
                </w14:textFill>
              </w:rPr>
              <w:t>1</w:t>
            </w:r>
            <w:r>
              <w:rPr>
                <w:rFonts w:hint="default" w:asciiTheme="minorEastAsia" w:hAnsiTheme="minorEastAsia" w:eastAsiaTheme="minorEastAsia"/>
                <w:color w:val="FFD966" w:themeColor="accent4" w:themeTint="99"/>
                <w:sz w:val="24"/>
                <w14:textFill>
                  <w14:solidFill>
                    <w14:schemeClr w14:val="accent4">
                      <w14:lumMod w14:val="60000"/>
                      <w14:lumOff w14:val="40000"/>
                    </w14:schemeClr>
                  </w14:solidFill>
                </w14:textFill>
              </w:rPr>
              <w:t>.增加防尘塞要求</w:t>
            </w:r>
          </w:p>
        </w:tc>
        <w:tc>
          <w:tcPr>
            <w:tcW w:w="1650" w:type="dxa"/>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ascii="宋体" w:hAnsi="宋体"/>
                <w:color w:val="FFD966" w:themeColor="accent4" w:themeTint="99"/>
                <w14:textFill>
                  <w14:solidFill>
                    <w14:schemeClr w14:val="accent4">
                      <w14:lumMod w14:val="60000"/>
                      <w14:lumOff w14:val="40000"/>
                    </w14:schemeClr>
                  </w14:solidFill>
                </w14:textFill>
              </w:rPr>
            </w:pPr>
            <w:r>
              <w:rPr>
                <w:rFonts w:hint="eastAsia" w:ascii="宋体" w:hAnsi="宋体"/>
                <w:color w:val="FFD966" w:themeColor="accent4" w:themeTint="99"/>
                <w14:textFill>
                  <w14:solidFill>
                    <w14:schemeClr w14:val="accent4">
                      <w14:lumMod w14:val="60000"/>
                      <w14:lumOff w14:val="40000"/>
                    </w14:schemeClr>
                  </w14:solidFill>
                </w14:textFill>
              </w:rPr>
              <w:t>郝腾飞</w:t>
            </w:r>
          </w:p>
        </w:tc>
        <w:tc>
          <w:tcPr>
            <w:tcW w:w="1557" w:type="dxa"/>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color w:val="FFD966" w:themeColor="accent4" w:themeTint="99"/>
                <w14:textFill>
                  <w14:solidFill>
                    <w14:schemeClr w14:val="accent4">
                      <w14:lumMod w14:val="60000"/>
                      <w14:lumOff w14:val="40000"/>
                    </w14:schemeClr>
                  </w14:solidFill>
                </w14:textFill>
              </w:rPr>
            </w:pPr>
            <w:r>
              <w:rPr>
                <w:rFonts w:hint="eastAsia"/>
                <w:color w:val="FFD966" w:themeColor="accent4" w:themeTint="99"/>
                <w14:textFill>
                  <w14:solidFill>
                    <w14:schemeClr w14:val="accent4">
                      <w14:lumMod w14:val="60000"/>
                      <w14:lumOff w14:val="40000"/>
                    </w14:schemeClr>
                  </w14:solidFill>
                </w14:textFill>
              </w:rPr>
              <w:t>2</w:t>
            </w:r>
            <w:r>
              <w:rPr>
                <w:rFonts w:hint="default"/>
                <w:color w:val="FFD966" w:themeColor="accent4" w:themeTint="99"/>
                <w14:textFill>
                  <w14:solidFill>
                    <w14:schemeClr w14:val="accent4">
                      <w14:lumMod w14:val="60000"/>
                      <w14:lumOff w14:val="40000"/>
                    </w14:schemeClr>
                  </w14:solidFill>
                </w14:textFill>
              </w:rPr>
              <w:t>023.04.03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shd w:val="clear" w:color="auto" w:fill="00FFFF"/>
            <w:vAlign w:val="center"/>
          </w:tcPr>
          <w:p>
            <w:pPr>
              <w:pStyle w:val="156"/>
              <w:keepNext w:val="0"/>
              <w:keepLines w:val="0"/>
              <w:widowControl/>
              <w:suppressLineNumbers w:val="0"/>
              <w:spacing w:beforeAutospacing="0" w:after="0" w:afterAutospacing="0"/>
              <w:ind w:left="0" w:right="0"/>
              <w:rPr>
                <w:rFonts w:hint="default"/>
              </w:rPr>
            </w:pPr>
            <w:r>
              <w:rPr>
                <w:rFonts w:hint="default"/>
              </w:rPr>
              <w:t>J</w:t>
            </w:r>
          </w:p>
        </w:tc>
        <w:tc>
          <w:tcPr>
            <w:tcW w:w="4349" w:type="dxa"/>
            <w:shd w:val="clear" w:color="auto" w:fill="00FFFF"/>
            <w:vAlign w:val="center"/>
          </w:tcPr>
          <w:p>
            <w:pPr>
              <w:pStyle w:val="156"/>
              <w:keepNext w:val="0"/>
              <w:keepLines w:val="0"/>
              <w:widowControl/>
              <w:suppressLineNumbers w:val="0"/>
              <w:spacing w:beforeAutospacing="0" w:after="0" w:afterAutospacing="0"/>
              <w:ind w:left="0" w:right="0"/>
              <w:jc w:val="left"/>
              <w:rPr>
                <w:rFonts w:hint="default" w:asciiTheme="minorEastAsia" w:hAnsiTheme="minorEastAsia" w:eastAsiaTheme="minorEastAsia"/>
                <w:sz w:val="24"/>
              </w:rPr>
            </w:pPr>
            <w:r>
              <w:rPr>
                <w:rFonts w:hint="eastAsia" w:asciiTheme="minorEastAsia" w:hAnsiTheme="minorEastAsia" w:eastAsiaTheme="minorEastAsia"/>
                <w:sz w:val="24"/>
              </w:rPr>
              <w:t>增加KPC</w:t>
            </w:r>
            <w:r>
              <w:rPr>
                <w:rFonts w:hint="default" w:asciiTheme="minorEastAsia" w:hAnsiTheme="minorEastAsia" w:eastAsiaTheme="minorEastAsia"/>
                <w:sz w:val="24"/>
              </w:rPr>
              <w:t>18-02/A</w:t>
            </w:r>
          </w:p>
        </w:tc>
        <w:tc>
          <w:tcPr>
            <w:tcW w:w="1650" w:type="dxa"/>
            <w:shd w:val="clear" w:color="auto" w:fill="00FFFF"/>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杨艳飞</w:t>
            </w:r>
          </w:p>
        </w:tc>
        <w:tc>
          <w:tcPr>
            <w:tcW w:w="1557" w:type="dxa"/>
            <w:shd w:val="clear" w:color="auto" w:fill="00FFFF"/>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r>
              <w:rPr>
                <w:rFonts w:hint="default"/>
              </w:rPr>
              <w:t>023.04.24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shd w:val="clear" w:color="auto" w:fill="auto"/>
            <w:vAlign w:val="center"/>
          </w:tcPr>
          <w:p>
            <w:pPr>
              <w:pStyle w:val="156"/>
              <w:keepNext w:val="0"/>
              <w:keepLines w:val="0"/>
              <w:widowControl/>
              <w:suppressLineNumbers w:val="0"/>
              <w:spacing w:beforeAutospacing="0" w:after="0" w:afterAutospacing="0"/>
              <w:ind w:left="0" w:right="0"/>
              <w:rPr>
                <w:rFonts w:hint="default" w:eastAsia="宋体"/>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K</w:t>
            </w:r>
          </w:p>
        </w:tc>
        <w:tc>
          <w:tcPr>
            <w:tcW w:w="4349" w:type="dxa"/>
            <w:shd w:val="clear" w:color="auto" w:fill="auto"/>
            <w:vAlign w:val="center"/>
          </w:tcPr>
          <w:p>
            <w:pPr>
              <w:pStyle w:val="156"/>
              <w:keepNext w:val="0"/>
              <w:keepLines w:val="0"/>
              <w:widowControl/>
              <w:numPr>
                <w:ilvl w:val="0"/>
                <w:numId w:val="10"/>
              </w:numPr>
              <w:suppressLineNumbers w:val="0"/>
              <w:spacing w:beforeAutospacing="0" w:after="0" w:afterAutospacing="0"/>
              <w:ind w:left="0" w:right="0"/>
              <w:jc w:val="left"/>
              <w:rPr>
                <w:rFonts w:hint="eastAsia" w:asciiTheme="minorEastAsia" w:hAnsiTheme="minorEastAsia" w:eastAsiaTheme="minorEastAsia"/>
                <w:color w:val="70AD47" w:themeColor="accent6"/>
                <w:sz w:val="24"/>
                <w:lang w:val="en-US" w:eastAsia="zh-CN"/>
                <w14:textFill>
                  <w14:solidFill>
                    <w14:schemeClr w14:val="accent6"/>
                  </w14:solidFill>
                </w14:textFill>
              </w:rPr>
            </w:pPr>
            <w:r>
              <w:rPr>
                <w:rFonts w:hint="eastAsia" w:asciiTheme="minorEastAsia" w:hAnsiTheme="minorEastAsia" w:eastAsiaTheme="minorEastAsia"/>
                <w:color w:val="70AD47" w:themeColor="accent6"/>
                <w:sz w:val="24"/>
                <w:lang w:val="en-US" w:eastAsia="zh-CN"/>
                <w14:textFill>
                  <w14:solidFill>
                    <w14:schemeClr w14:val="accent6"/>
                  </w14:solidFill>
                </w14:textFill>
              </w:rPr>
              <w:t>增加KPC18-02/B</w:t>
            </w:r>
          </w:p>
          <w:p>
            <w:pPr>
              <w:pStyle w:val="156"/>
              <w:keepNext w:val="0"/>
              <w:keepLines w:val="0"/>
              <w:widowControl/>
              <w:numPr>
                <w:ilvl w:val="0"/>
                <w:numId w:val="10"/>
              </w:numPr>
              <w:suppressLineNumbers w:val="0"/>
              <w:spacing w:beforeAutospacing="0" w:after="0" w:afterAutospacing="0"/>
              <w:ind w:left="0" w:right="0"/>
              <w:jc w:val="left"/>
              <w:rPr>
                <w:rFonts w:hint="default" w:asciiTheme="minorEastAsia" w:hAnsiTheme="minorEastAsia" w:eastAsiaTheme="minorEastAsia"/>
                <w:color w:val="70AD47" w:themeColor="accent6"/>
                <w:sz w:val="24"/>
                <w:lang w:val="en-US" w:eastAsia="zh-CN"/>
                <w14:textFill>
                  <w14:solidFill>
                    <w14:schemeClr w14:val="accent6"/>
                  </w14:solidFill>
                </w14:textFill>
              </w:rPr>
            </w:pPr>
            <w:r>
              <w:rPr>
                <w:rFonts w:hint="eastAsia" w:asciiTheme="minorEastAsia" w:hAnsiTheme="minorEastAsia" w:eastAsiaTheme="minorEastAsia"/>
                <w:color w:val="70AD47" w:themeColor="accent6"/>
                <w:sz w:val="24"/>
                <w:lang w:val="en-US" w:eastAsia="zh-CN"/>
                <w14:textFill>
                  <w14:solidFill>
                    <w14:schemeClr w14:val="accent6"/>
                  </w14:solidFill>
                </w14:textFill>
              </w:rPr>
              <w:t>适用范围增加厂家信息</w:t>
            </w:r>
          </w:p>
        </w:tc>
        <w:tc>
          <w:tcPr>
            <w:tcW w:w="1650" w:type="dxa"/>
            <w:shd w:val="clear" w:color="auto" w:fill="auto"/>
            <w:vAlign w:val="center"/>
          </w:tcPr>
          <w:p>
            <w:pPr>
              <w:pStyle w:val="156"/>
              <w:keepNext w:val="0"/>
              <w:keepLines w:val="0"/>
              <w:widowControl/>
              <w:suppressLineNumbers w:val="0"/>
              <w:spacing w:beforeAutospacing="0" w:after="0" w:afterAutospacing="0"/>
              <w:ind w:left="0" w:right="0"/>
              <w:rPr>
                <w:rFonts w:hint="eastAsia" w:ascii="宋体" w:hAnsi="宋体" w:eastAsia="宋体"/>
                <w:color w:val="70AD47" w:themeColor="accent6"/>
                <w:lang w:eastAsia="zh-CN"/>
                <w14:textFill>
                  <w14:solidFill>
                    <w14:schemeClr w14:val="accent6"/>
                  </w14:solidFill>
                </w14:textFill>
              </w:rPr>
            </w:pPr>
            <w:r>
              <w:rPr>
                <w:rFonts w:hint="eastAsia" w:ascii="宋体" w:hAnsi="宋体"/>
                <w:color w:val="70AD47" w:themeColor="accent6"/>
                <w:lang w:eastAsia="zh-CN"/>
                <w14:textFill>
                  <w14:solidFill>
                    <w14:schemeClr w14:val="accent6"/>
                  </w14:solidFill>
                </w14:textFill>
              </w:rPr>
              <w:t>卢康然</w:t>
            </w:r>
          </w:p>
        </w:tc>
        <w:tc>
          <w:tcPr>
            <w:tcW w:w="1557" w:type="dxa"/>
            <w:shd w:val="clear" w:color="auto" w:fill="auto"/>
            <w:vAlign w:val="center"/>
          </w:tcPr>
          <w:p>
            <w:pPr>
              <w:pStyle w:val="156"/>
              <w:keepNext w:val="0"/>
              <w:keepLines w:val="0"/>
              <w:widowControl/>
              <w:suppressLineNumbers w:val="0"/>
              <w:spacing w:beforeAutospacing="0" w:after="0" w:afterAutospacing="0"/>
              <w:ind w:left="0" w:right="0"/>
              <w:rPr>
                <w:rFonts w:hint="default" w:eastAsia="宋体"/>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2025.06.20</w:t>
            </w:r>
          </w:p>
        </w:tc>
      </w:tr>
    </w:tbl>
    <w:p>
      <w:pPr>
        <w:adjustRightInd w:val="0"/>
        <w:ind w:firstLine="480"/>
        <w:rPr>
          <w:rFonts w:ascii="Arial" w:hAnsi="Arial" w:cs="Arial"/>
        </w:rPr>
      </w:pPr>
    </w:p>
    <w:p>
      <w:pPr>
        <w:adjustRightInd w:val="0"/>
        <w:snapToGrid w:val="0"/>
        <w:spacing w:line="280" w:lineRule="exact"/>
        <w:ind w:firstLine="482"/>
        <w:rPr>
          <w:rFonts w:ascii="Arial" w:hAnsi="Arial" w:cs="Arial"/>
          <w:b/>
        </w:rPr>
      </w:pPr>
    </w:p>
    <w:p>
      <w:pPr>
        <w:adjustRightInd w:val="0"/>
        <w:snapToGrid w:val="0"/>
        <w:spacing w:line="280" w:lineRule="exact"/>
        <w:ind w:firstLine="482"/>
        <w:rPr>
          <w:rFonts w:ascii="Arial" w:hAnsi="Arial" w:cs="Arial"/>
          <w:b/>
        </w:rPr>
      </w:pPr>
    </w:p>
    <w:p>
      <w:pPr>
        <w:adjustRightInd w:val="0"/>
        <w:snapToGrid w:val="0"/>
        <w:spacing w:line="280" w:lineRule="exact"/>
        <w:ind w:firstLine="0" w:firstLineChars="0"/>
        <w:rPr>
          <w:rFonts w:ascii="Arial" w:hAnsi="Arial" w:cs="Arial"/>
          <w:b/>
        </w:rPr>
        <w:sectPr>
          <w:headerReference r:id="rId9" w:type="first"/>
          <w:footerReference r:id="rId12" w:type="first"/>
          <w:headerReference r:id="rId7" w:type="default"/>
          <w:footerReference r:id="rId10" w:type="default"/>
          <w:headerReference r:id="rId8" w:type="even"/>
          <w:footerReference r:id="rId11" w:type="even"/>
          <w:pgSz w:w="12240" w:h="15840"/>
          <w:pgMar w:top="1417" w:right="1191" w:bottom="1417" w:left="1361" w:header="851" w:footer="1134" w:gutter="0"/>
          <w:cols w:space="720" w:num="1"/>
          <w:titlePg/>
          <w:rtlGutter w:val="0"/>
          <w:docGrid w:linePitch="0" w:charSpace="0"/>
        </w:sectPr>
      </w:pPr>
    </w:p>
    <w:sdt>
      <w:sdtPr>
        <w:rPr>
          <w:rFonts w:ascii="Times New Roman" w:hAnsi="Times New Roman" w:eastAsia="宋体" w:cs="Times New Roman"/>
          <w:b w:val="0"/>
          <w:bCs w:val="0"/>
          <w:color w:val="auto"/>
          <w:kern w:val="2"/>
          <w:sz w:val="24"/>
          <w:szCs w:val="24"/>
          <w:lang w:val="zh-CN"/>
        </w:rPr>
        <w:id w:val="1754235530"/>
      </w:sdtPr>
      <w:sdtEndPr>
        <w:rPr>
          <w:rFonts w:cs="Times New Roman" w:asciiTheme="minorEastAsia" w:hAnsiTheme="minorEastAsia" w:eastAsiaTheme="minorEastAsia"/>
          <w:b w:val="0"/>
          <w:bCs w:val="0"/>
          <w:color w:val="auto"/>
          <w:kern w:val="2"/>
          <w:sz w:val="24"/>
          <w:szCs w:val="24"/>
          <w:lang w:val="zh-CN"/>
        </w:rPr>
      </w:sdtEndPr>
      <w:sdtContent>
        <w:p>
          <w:pPr>
            <w:pStyle w:val="200"/>
            <w:spacing w:before="0" w:line="240" w:lineRule="auto"/>
            <w:ind w:firstLine="480"/>
            <w:jc w:val="center"/>
            <w:rPr>
              <w:rFonts w:asciiTheme="minorEastAsia" w:hAnsiTheme="minorEastAsia" w:eastAsiaTheme="minorEastAsia"/>
              <w:sz w:val="24"/>
              <w:szCs w:val="24"/>
            </w:rPr>
          </w:pPr>
          <w:r>
            <w:rPr>
              <w:rFonts w:asciiTheme="minorEastAsia" w:hAnsiTheme="minorEastAsia" w:eastAsiaTheme="minorEastAsia"/>
              <w:sz w:val="24"/>
              <w:szCs w:val="24"/>
              <w:lang w:val="zh-CN"/>
            </w:rPr>
            <w:t>目录</w:t>
          </w:r>
        </w:p>
        <w:p>
          <w:pPr>
            <w:pStyle w:val="32"/>
            <w:tabs>
              <w:tab w:val="right" w:leader="dot" w:pos="9071"/>
            </w:tabs>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rPr>
              <w:rFonts w:asciiTheme="minorEastAsia" w:hAnsiTheme="minorEastAsia" w:eastAsiaTheme="minorEastAsia"/>
            </w:rPr>
            <w:fldChar w:fldCharType="begin"/>
          </w:r>
          <w:r>
            <w:rPr>
              <w:rFonts w:asciiTheme="minorEastAsia" w:hAnsiTheme="minorEastAsia" w:eastAsiaTheme="minorEastAsia"/>
            </w:rPr>
            <w:instrText xml:space="preserve"> HYPERLINK \l _Toc11617 </w:instrText>
          </w:r>
          <w:r>
            <w:rPr>
              <w:rFonts w:asciiTheme="minorEastAsia" w:hAnsiTheme="minorEastAsia" w:eastAsiaTheme="minorEastAsia"/>
            </w:rPr>
            <w:fldChar w:fldCharType="separate"/>
          </w:r>
          <w:r>
            <w:rPr>
              <w:rFonts w:hint="eastAsia"/>
            </w:rPr>
            <w:t xml:space="preserve">1 </w:t>
          </w:r>
          <w:r>
            <w:t>适用范围</w:t>
          </w:r>
          <w:r>
            <w:tab/>
          </w:r>
          <w:r>
            <w:fldChar w:fldCharType="begin"/>
          </w:r>
          <w:r>
            <w:instrText xml:space="preserve"> PAGEREF _Toc11617 \h </w:instrText>
          </w:r>
          <w:r>
            <w:fldChar w:fldCharType="separate"/>
          </w:r>
          <w:r>
            <w:t>24</w:t>
          </w:r>
          <w:r>
            <w:fldChar w:fldCharType="end"/>
          </w:r>
          <w:r>
            <w:rPr>
              <w:rFonts w:asciiTheme="minorEastAsia" w:hAnsiTheme="minorEastAsia" w:eastAsiaTheme="minorEastAsia"/>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_Toc26817 </w:instrText>
          </w:r>
          <w:r>
            <w:rPr>
              <w:rFonts w:asciiTheme="minorEastAsia" w:hAnsiTheme="minorEastAsia" w:eastAsiaTheme="minorEastAsia"/>
              <w:bCs/>
              <w:lang w:val="zh-CN"/>
            </w:rPr>
            <w:fldChar w:fldCharType="separate"/>
          </w:r>
          <w:r>
            <w:rPr>
              <w:rFonts w:hint="eastAsia"/>
            </w:rPr>
            <w:t>2 供货范围</w:t>
          </w:r>
          <w:r>
            <w:tab/>
          </w:r>
          <w:r>
            <w:fldChar w:fldCharType="begin"/>
          </w:r>
          <w:r>
            <w:instrText xml:space="preserve"> PAGEREF _Toc26817 \h </w:instrText>
          </w:r>
          <w:r>
            <w:fldChar w:fldCharType="separate"/>
          </w:r>
          <w:r>
            <w:t>24</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_Toc15333 </w:instrText>
          </w:r>
          <w:r>
            <w:rPr>
              <w:rFonts w:asciiTheme="minorEastAsia" w:hAnsiTheme="minorEastAsia" w:eastAsiaTheme="minorEastAsia"/>
              <w:bCs/>
              <w:lang w:val="zh-CN"/>
            </w:rPr>
            <w:fldChar w:fldCharType="separate"/>
          </w:r>
          <w:r>
            <w:rPr>
              <w:rFonts w:hint="eastAsia"/>
            </w:rPr>
            <w:t xml:space="preserve">3 </w:t>
          </w:r>
          <w:r>
            <w:t>引用标准及相关文件</w:t>
          </w:r>
          <w:r>
            <w:tab/>
          </w:r>
          <w:r>
            <w:fldChar w:fldCharType="begin"/>
          </w:r>
          <w:r>
            <w:instrText xml:space="preserve"> PAGEREF _Toc15333 \h </w:instrText>
          </w:r>
          <w:r>
            <w:fldChar w:fldCharType="separate"/>
          </w:r>
          <w:r>
            <w:t>27</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_Toc13726 </w:instrText>
          </w:r>
          <w:r>
            <w:rPr>
              <w:rFonts w:asciiTheme="minorEastAsia" w:hAnsiTheme="minorEastAsia" w:eastAsiaTheme="minorEastAsia"/>
              <w:bCs/>
              <w:lang w:val="zh-CN"/>
            </w:rPr>
            <w:fldChar w:fldCharType="separate"/>
          </w:r>
          <w:r>
            <w:rPr>
              <w:rFonts w:hint="eastAsia"/>
            </w:rPr>
            <w:t xml:space="preserve">4 </w:t>
          </w:r>
          <w:r>
            <w:t>KPC硬件参数</w:t>
          </w:r>
          <w:r>
            <w:tab/>
          </w:r>
          <w:r>
            <w:fldChar w:fldCharType="begin"/>
          </w:r>
          <w:r>
            <w:instrText xml:space="preserve"> PAGEREF _Toc13726 \h </w:instrText>
          </w:r>
          <w:r>
            <w:fldChar w:fldCharType="separate"/>
          </w:r>
          <w:r>
            <w:t>27</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_Toc9782 </w:instrText>
          </w:r>
          <w:r>
            <w:rPr>
              <w:rFonts w:asciiTheme="minorEastAsia" w:hAnsiTheme="minorEastAsia" w:eastAsiaTheme="minorEastAsia"/>
              <w:bCs/>
              <w:lang w:val="zh-CN"/>
            </w:rPr>
            <w:fldChar w:fldCharType="separate"/>
          </w:r>
          <w:r>
            <w:rPr>
              <w:rFonts w:hint="eastAsia"/>
            </w:rPr>
            <w:t xml:space="preserve">4.1 </w:t>
          </w:r>
          <w:r>
            <w:t>应用环境条件</w:t>
          </w:r>
          <w:r>
            <w:tab/>
          </w:r>
          <w:r>
            <w:fldChar w:fldCharType="begin"/>
          </w:r>
          <w:r>
            <w:instrText xml:space="preserve"> PAGEREF _Toc9782 \h </w:instrText>
          </w:r>
          <w:r>
            <w:fldChar w:fldCharType="separate"/>
          </w:r>
          <w:r>
            <w:t>27</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_Toc21908 </w:instrText>
          </w:r>
          <w:r>
            <w:rPr>
              <w:rFonts w:asciiTheme="minorEastAsia" w:hAnsiTheme="minorEastAsia" w:eastAsiaTheme="minorEastAsia"/>
              <w:bCs/>
              <w:lang w:val="zh-CN"/>
            </w:rPr>
            <w:fldChar w:fldCharType="separate"/>
          </w:r>
          <w:r>
            <w:rPr>
              <w:rFonts w:hint="eastAsia"/>
            </w:rPr>
            <w:t xml:space="preserve">4.2 </w:t>
          </w:r>
          <w:r>
            <w:t>硬件结构</w:t>
          </w:r>
          <w:r>
            <w:tab/>
          </w:r>
          <w:r>
            <w:fldChar w:fldCharType="begin"/>
          </w:r>
          <w:r>
            <w:instrText xml:space="preserve"> PAGEREF _Toc21908 \h </w:instrText>
          </w:r>
          <w:r>
            <w:fldChar w:fldCharType="separate"/>
          </w:r>
          <w:r>
            <w:t>28</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_Toc13499 </w:instrText>
          </w:r>
          <w:r>
            <w:rPr>
              <w:rFonts w:asciiTheme="minorEastAsia" w:hAnsiTheme="minorEastAsia" w:eastAsiaTheme="minorEastAsia"/>
              <w:bCs/>
              <w:lang w:val="zh-CN"/>
            </w:rPr>
            <w:fldChar w:fldCharType="separate"/>
          </w:r>
          <w:r>
            <w:rPr>
              <w:rFonts w:hint="eastAsia"/>
            </w:rPr>
            <w:t>4.3 控制器资源说明</w:t>
          </w:r>
          <w:r>
            <w:tab/>
          </w:r>
          <w:r>
            <w:fldChar w:fldCharType="begin"/>
          </w:r>
          <w:r>
            <w:instrText xml:space="preserve"> PAGEREF _Toc13499 \h </w:instrText>
          </w:r>
          <w:r>
            <w:fldChar w:fldCharType="separate"/>
          </w:r>
          <w:r>
            <w:t>28</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_Toc15726 </w:instrText>
          </w:r>
          <w:r>
            <w:rPr>
              <w:rFonts w:asciiTheme="minorEastAsia" w:hAnsiTheme="minorEastAsia" w:eastAsiaTheme="minorEastAsia"/>
              <w:bCs/>
              <w:lang w:val="zh-CN"/>
            </w:rPr>
            <w:fldChar w:fldCharType="separate"/>
          </w:r>
          <w:r>
            <w:rPr>
              <w:rFonts w:hint="eastAsia"/>
            </w:rPr>
            <w:t>4.4 控制器附件</w:t>
          </w:r>
          <w:r>
            <w:tab/>
          </w:r>
          <w:r>
            <w:fldChar w:fldCharType="begin"/>
          </w:r>
          <w:r>
            <w:instrText xml:space="preserve"> PAGEREF _Toc15726 \h </w:instrText>
          </w:r>
          <w:r>
            <w:fldChar w:fldCharType="separate"/>
          </w:r>
          <w:r>
            <w:t>30</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_Toc9998 </w:instrText>
          </w:r>
          <w:r>
            <w:rPr>
              <w:rFonts w:asciiTheme="minorEastAsia" w:hAnsiTheme="minorEastAsia" w:eastAsiaTheme="minorEastAsia"/>
              <w:bCs/>
              <w:lang w:val="zh-CN"/>
            </w:rPr>
            <w:fldChar w:fldCharType="separate"/>
          </w:r>
          <w:r>
            <w:rPr>
              <w:rFonts w:hint="eastAsia"/>
            </w:rPr>
            <w:t xml:space="preserve">5 </w:t>
          </w:r>
          <w:r>
            <w:t>电路设计原则</w:t>
          </w:r>
          <w:r>
            <w:tab/>
          </w:r>
          <w:r>
            <w:fldChar w:fldCharType="begin"/>
          </w:r>
          <w:r>
            <w:instrText xml:space="preserve"> PAGEREF _Toc9998 \h </w:instrText>
          </w:r>
          <w:r>
            <w:fldChar w:fldCharType="separate"/>
          </w:r>
          <w:r>
            <w:t>31</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_Toc15477 </w:instrText>
          </w:r>
          <w:r>
            <w:rPr>
              <w:rFonts w:asciiTheme="minorEastAsia" w:hAnsiTheme="minorEastAsia" w:eastAsiaTheme="minorEastAsia"/>
              <w:bCs/>
              <w:lang w:val="zh-CN"/>
            </w:rPr>
            <w:fldChar w:fldCharType="separate"/>
          </w:r>
          <w:r>
            <w:rPr>
              <w:rFonts w:hint="eastAsia"/>
            </w:rPr>
            <w:t xml:space="preserve">5.1 </w:t>
          </w:r>
          <w:r>
            <w:t>电源</w:t>
          </w:r>
          <w:r>
            <w:tab/>
          </w:r>
          <w:r>
            <w:fldChar w:fldCharType="begin"/>
          </w:r>
          <w:r>
            <w:instrText xml:space="preserve"> PAGEREF _Toc15477 \h </w:instrText>
          </w:r>
          <w:r>
            <w:fldChar w:fldCharType="separate"/>
          </w:r>
          <w:r>
            <w:t>31</w:t>
          </w:r>
          <w:r>
            <w:fldChar w:fldCharType="end"/>
          </w:r>
          <w:r>
            <w:rPr>
              <w:rFonts w:asciiTheme="minorEastAsia" w:hAnsiTheme="minorEastAsia" w:eastAsiaTheme="minorEastAsia"/>
              <w:bCs/>
              <w:lang w:val="zh-CN"/>
            </w:rPr>
            <w:fldChar w:fldCharType="end"/>
          </w:r>
        </w:p>
        <w:p>
          <w:pPr>
            <w:pStyle w:val="23"/>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_Toc11549 </w:instrText>
          </w:r>
          <w:r>
            <w:rPr>
              <w:rFonts w:asciiTheme="minorEastAsia" w:hAnsiTheme="minorEastAsia" w:eastAsiaTheme="minorEastAsia"/>
              <w:bCs/>
              <w:lang w:val="zh-CN"/>
            </w:rPr>
            <w:fldChar w:fldCharType="separate"/>
          </w:r>
          <w:r>
            <w:rPr>
              <w:rFonts w:hint="eastAsia"/>
            </w:rPr>
            <w:t>5.1.1 DC24V输入</w:t>
          </w:r>
          <w:r>
            <w:tab/>
          </w:r>
          <w:r>
            <w:fldChar w:fldCharType="begin"/>
          </w:r>
          <w:r>
            <w:instrText xml:space="preserve"> PAGEREF _Toc11549 \h </w:instrText>
          </w:r>
          <w:r>
            <w:fldChar w:fldCharType="separate"/>
          </w:r>
          <w:r>
            <w:t>31</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_Toc4477 </w:instrText>
          </w:r>
          <w:r>
            <w:rPr>
              <w:rFonts w:asciiTheme="minorEastAsia" w:hAnsiTheme="minorEastAsia" w:eastAsiaTheme="minorEastAsia"/>
              <w:bCs/>
              <w:lang w:val="zh-CN"/>
            </w:rPr>
            <w:fldChar w:fldCharType="separate"/>
          </w:r>
          <w:r>
            <w:rPr>
              <w:rFonts w:hint="eastAsia"/>
            </w:rPr>
            <w:t xml:space="preserve">5.2 </w:t>
          </w:r>
          <w:r>
            <w:t>数字量输入点规格</w:t>
          </w:r>
          <w:r>
            <w:tab/>
          </w:r>
          <w:r>
            <w:fldChar w:fldCharType="begin"/>
          </w:r>
          <w:r>
            <w:instrText xml:space="preserve"> PAGEREF _Toc4477 \h </w:instrText>
          </w:r>
          <w:r>
            <w:fldChar w:fldCharType="separate"/>
          </w:r>
          <w:r>
            <w:t>31</w:t>
          </w:r>
          <w:r>
            <w:fldChar w:fldCharType="end"/>
          </w:r>
          <w:r>
            <w:rPr>
              <w:rFonts w:asciiTheme="minorEastAsia" w:hAnsiTheme="minorEastAsia" w:eastAsiaTheme="minorEastAsia"/>
              <w:bCs/>
              <w:lang w:val="zh-CN"/>
            </w:rPr>
            <w:fldChar w:fldCharType="end"/>
          </w:r>
        </w:p>
        <w:p>
          <w:pPr>
            <w:pStyle w:val="23"/>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_Toc9861 </w:instrText>
          </w:r>
          <w:r>
            <w:rPr>
              <w:rFonts w:asciiTheme="minorEastAsia" w:hAnsiTheme="minorEastAsia" w:eastAsiaTheme="minorEastAsia"/>
              <w:bCs/>
              <w:lang w:val="zh-CN"/>
            </w:rPr>
            <w:fldChar w:fldCharType="separate"/>
          </w:r>
          <w:r>
            <w:rPr>
              <w:rFonts w:hint="eastAsia"/>
            </w:rPr>
            <w:t xml:space="preserve">5.2.1 </w:t>
          </w:r>
          <w:r>
            <w:t>隔离要求</w:t>
          </w:r>
          <w:r>
            <w:tab/>
          </w:r>
          <w:r>
            <w:fldChar w:fldCharType="begin"/>
          </w:r>
          <w:r>
            <w:instrText xml:space="preserve"> PAGEREF _Toc9861 \h </w:instrText>
          </w:r>
          <w:r>
            <w:fldChar w:fldCharType="separate"/>
          </w:r>
          <w:r>
            <w:t>31</w:t>
          </w:r>
          <w:r>
            <w:fldChar w:fldCharType="end"/>
          </w:r>
          <w:r>
            <w:rPr>
              <w:rFonts w:asciiTheme="minorEastAsia" w:hAnsiTheme="minorEastAsia" w:eastAsiaTheme="minorEastAsia"/>
              <w:bCs/>
              <w:lang w:val="zh-CN"/>
            </w:rPr>
            <w:fldChar w:fldCharType="end"/>
          </w:r>
        </w:p>
        <w:p>
          <w:pPr>
            <w:pStyle w:val="23"/>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_Toc12641 </w:instrText>
          </w:r>
          <w:r>
            <w:rPr>
              <w:rFonts w:asciiTheme="minorEastAsia" w:hAnsiTheme="minorEastAsia" w:eastAsiaTheme="minorEastAsia"/>
              <w:bCs/>
              <w:lang w:val="zh-CN"/>
            </w:rPr>
            <w:fldChar w:fldCharType="separate"/>
          </w:r>
          <w:r>
            <w:rPr>
              <w:rFonts w:hint="eastAsia"/>
            </w:rPr>
            <w:t xml:space="preserve">5.2.2 </w:t>
          </w:r>
          <w:r>
            <w:t>输入类型</w:t>
          </w:r>
          <w:r>
            <w:tab/>
          </w:r>
          <w:r>
            <w:fldChar w:fldCharType="begin"/>
          </w:r>
          <w:r>
            <w:instrText xml:space="preserve"> PAGEREF _Toc12641 \h </w:instrText>
          </w:r>
          <w:r>
            <w:fldChar w:fldCharType="separate"/>
          </w:r>
          <w:r>
            <w:t>31</w:t>
          </w:r>
          <w:r>
            <w:fldChar w:fldCharType="end"/>
          </w:r>
          <w:r>
            <w:rPr>
              <w:rFonts w:asciiTheme="minorEastAsia" w:hAnsiTheme="minorEastAsia" w:eastAsiaTheme="minorEastAsia"/>
              <w:bCs/>
              <w:lang w:val="zh-CN"/>
            </w:rPr>
            <w:fldChar w:fldCharType="end"/>
          </w:r>
        </w:p>
        <w:p>
          <w:pPr>
            <w:pStyle w:val="23"/>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_Toc16803 </w:instrText>
          </w:r>
          <w:r>
            <w:rPr>
              <w:rFonts w:asciiTheme="minorEastAsia" w:hAnsiTheme="minorEastAsia" w:eastAsiaTheme="minorEastAsia"/>
              <w:bCs/>
              <w:lang w:val="zh-CN"/>
            </w:rPr>
            <w:fldChar w:fldCharType="separate"/>
          </w:r>
          <w:r>
            <w:rPr>
              <w:rFonts w:hint="eastAsia"/>
            </w:rPr>
            <w:t xml:space="preserve">5.2.3 </w:t>
          </w:r>
          <w:r>
            <w:t>输入特性</w:t>
          </w:r>
          <w:r>
            <w:tab/>
          </w:r>
          <w:r>
            <w:fldChar w:fldCharType="begin"/>
          </w:r>
          <w:r>
            <w:instrText xml:space="preserve"> PAGEREF _Toc16803 \h </w:instrText>
          </w:r>
          <w:r>
            <w:fldChar w:fldCharType="separate"/>
          </w:r>
          <w:r>
            <w:t>31</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_Toc4687 </w:instrText>
          </w:r>
          <w:r>
            <w:rPr>
              <w:rFonts w:asciiTheme="minorEastAsia" w:hAnsiTheme="minorEastAsia" w:eastAsiaTheme="minorEastAsia"/>
              <w:bCs/>
              <w:lang w:val="zh-CN"/>
            </w:rPr>
            <w:fldChar w:fldCharType="separate"/>
          </w:r>
          <w:r>
            <w:rPr>
              <w:rFonts w:hint="eastAsia"/>
            </w:rPr>
            <w:t xml:space="preserve">5.3 </w:t>
          </w:r>
          <w:r>
            <w:t>数字量输出点规格</w:t>
          </w:r>
          <w:r>
            <w:tab/>
          </w:r>
          <w:r>
            <w:fldChar w:fldCharType="begin"/>
          </w:r>
          <w:r>
            <w:instrText xml:space="preserve"> PAGEREF _Toc4687 \h </w:instrText>
          </w:r>
          <w:r>
            <w:fldChar w:fldCharType="separate"/>
          </w:r>
          <w:r>
            <w:t>31</w:t>
          </w:r>
          <w:r>
            <w:fldChar w:fldCharType="end"/>
          </w:r>
          <w:r>
            <w:rPr>
              <w:rFonts w:asciiTheme="minorEastAsia" w:hAnsiTheme="minorEastAsia" w:eastAsiaTheme="minorEastAsia"/>
              <w:bCs/>
              <w:lang w:val="zh-CN"/>
            </w:rPr>
            <w:fldChar w:fldCharType="end"/>
          </w:r>
        </w:p>
        <w:p>
          <w:pPr>
            <w:pStyle w:val="23"/>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_Toc8224 </w:instrText>
          </w:r>
          <w:r>
            <w:rPr>
              <w:rFonts w:asciiTheme="minorEastAsia" w:hAnsiTheme="minorEastAsia" w:eastAsiaTheme="minorEastAsia"/>
              <w:bCs/>
              <w:lang w:val="zh-CN"/>
            </w:rPr>
            <w:fldChar w:fldCharType="separate"/>
          </w:r>
          <w:r>
            <w:rPr>
              <w:rFonts w:hint="eastAsia"/>
            </w:rPr>
            <w:t xml:space="preserve">5.3.1 </w:t>
          </w:r>
          <w:r>
            <w:t>输出隔离</w:t>
          </w:r>
          <w:r>
            <w:tab/>
          </w:r>
          <w:r>
            <w:fldChar w:fldCharType="begin"/>
          </w:r>
          <w:r>
            <w:instrText xml:space="preserve"> PAGEREF _Toc8224 \h </w:instrText>
          </w:r>
          <w:r>
            <w:fldChar w:fldCharType="separate"/>
          </w:r>
          <w:r>
            <w:t>32</w:t>
          </w:r>
          <w:r>
            <w:fldChar w:fldCharType="end"/>
          </w:r>
          <w:r>
            <w:rPr>
              <w:rFonts w:asciiTheme="minorEastAsia" w:hAnsiTheme="minorEastAsia" w:eastAsiaTheme="minorEastAsia"/>
              <w:bCs/>
              <w:lang w:val="zh-CN"/>
            </w:rPr>
            <w:fldChar w:fldCharType="end"/>
          </w:r>
        </w:p>
        <w:p>
          <w:pPr>
            <w:pStyle w:val="23"/>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_Toc10907 </w:instrText>
          </w:r>
          <w:r>
            <w:rPr>
              <w:rFonts w:asciiTheme="minorEastAsia" w:hAnsiTheme="minorEastAsia" w:eastAsiaTheme="minorEastAsia"/>
              <w:bCs/>
              <w:lang w:val="zh-CN"/>
            </w:rPr>
            <w:fldChar w:fldCharType="separate"/>
          </w:r>
          <w:r>
            <w:rPr>
              <w:rFonts w:hint="eastAsia"/>
            </w:rPr>
            <w:t xml:space="preserve">5.3.2 </w:t>
          </w:r>
          <w:r>
            <w:t>输出特性</w:t>
          </w:r>
          <w:r>
            <w:tab/>
          </w:r>
          <w:r>
            <w:fldChar w:fldCharType="begin"/>
          </w:r>
          <w:r>
            <w:instrText xml:space="preserve"> PAGEREF _Toc10907 \h </w:instrText>
          </w:r>
          <w:r>
            <w:fldChar w:fldCharType="separate"/>
          </w:r>
          <w:r>
            <w:t>32</w:t>
          </w:r>
          <w:r>
            <w:fldChar w:fldCharType="end"/>
          </w:r>
          <w:r>
            <w:rPr>
              <w:rFonts w:asciiTheme="minorEastAsia" w:hAnsiTheme="minorEastAsia" w:eastAsiaTheme="minorEastAsia"/>
              <w:bCs/>
              <w:lang w:val="zh-CN"/>
            </w:rPr>
            <w:fldChar w:fldCharType="end"/>
          </w:r>
        </w:p>
        <w:p>
          <w:pPr>
            <w:pStyle w:val="23"/>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_Toc5393 </w:instrText>
          </w:r>
          <w:r>
            <w:rPr>
              <w:rFonts w:asciiTheme="minorEastAsia" w:hAnsiTheme="minorEastAsia" w:eastAsiaTheme="minorEastAsia"/>
              <w:bCs/>
              <w:lang w:val="zh-CN"/>
            </w:rPr>
            <w:fldChar w:fldCharType="separate"/>
          </w:r>
          <w:r>
            <w:rPr>
              <w:rFonts w:hint="eastAsia"/>
            </w:rPr>
            <w:t xml:space="preserve">5.3.3 </w:t>
          </w:r>
          <w:r>
            <w:t>安全输出</w:t>
          </w:r>
          <w:r>
            <w:tab/>
          </w:r>
          <w:r>
            <w:fldChar w:fldCharType="begin"/>
          </w:r>
          <w:r>
            <w:instrText xml:space="preserve"> PAGEREF _Toc5393 \h </w:instrText>
          </w:r>
          <w:r>
            <w:fldChar w:fldCharType="separate"/>
          </w:r>
          <w:r>
            <w:t>32</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_Toc1770 </w:instrText>
          </w:r>
          <w:r>
            <w:rPr>
              <w:rFonts w:asciiTheme="minorEastAsia" w:hAnsiTheme="minorEastAsia" w:eastAsiaTheme="minorEastAsia"/>
              <w:bCs/>
              <w:lang w:val="zh-CN"/>
            </w:rPr>
            <w:fldChar w:fldCharType="separate"/>
          </w:r>
          <w:r>
            <w:rPr>
              <w:rFonts w:hint="eastAsia"/>
            </w:rPr>
            <w:t xml:space="preserve">5.4 </w:t>
          </w:r>
          <w:r>
            <w:t>模拟量输入规格</w:t>
          </w:r>
          <w:r>
            <w:tab/>
          </w:r>
          <w:r>
            <w:fldChar w:fldCharType="begin"/>
          </w:r>
          <w:r>
            <w:instrText xml:space="preserve"> PAGEREF _Toc1770 \h </w:instrText>
          </w:r>
          <w:r>
            <w:fldChar w:fldCharType="separate"/>
          </w:r>
          <w:r>
            <w:t>32</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_Toc28895 </w:instrText>
          </w:r>
          <w:r>
            <w:rPr>
              <w:rFonts w:asciiTheme="minorEastAsia" w:hAnsiTheme="minorEastAsia" w:eastAsiaTheme="minorEastAsia"/>
              <w:bCs/>
              <w:lang w:val="zh-CN"/>
            </w:rPr>
            <w:fldChar w:fldCharType="separate"/>
          </w:r>
          <w:r>
            <w:rPr>
              <w:rFonts w:hint="eastAsia"/>
            </w:rPr>
            <w:t xml:space="preserve">5.5 </w:t>
          </w:r>
          <w:r>
            <w:t>实时时钟</w:t>
          </w:r>
          <w:r>
            <w:tab/>
          </w:r>
          <w:r>
            <w:fldChar w:fldCharType="begin"/>
          </w:r>
          <w:r>
            <w:instrText xml:space="preserve"> PAGEREF _Toc28895 \h </w:instrText>
          </w:r>
          <w:r>
            <w:fldChar w:fldCharType="separate"/>
          </w:r>
          <w:r>
            <w:t>32</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_Toc15092 </w:instrText>
          </w:r>
          <w:r>
            <w:rPr>
              <w:rFonts w:asciiTheme="minorEastAsia" w:hAnsiTheme="minorEastAsia" w:eastAsiaTheme="minorEastAsia"/>
              <w:bCs/>
              <w:lang w:val="zh-CN"/>
            </w:rPr>
            <w:fldChar w:fldCharType="separate"/>
          </w:r>
          <w:r>
            <w:rPr>
              <w:rFonts w:hint="eastAsia"/>
            </w:rPr>
            <w:t xml:space="preserve">5.6 </w:t>
          </w:r>
          <w:r>
            <w:t>存储器</w:t>
          </w:r>
          <w:r>
            <w:tab/>
          </w:r>
          <w:r>
            <w:fldChar w:fldCharType="begin"/>
          </w:r>
          <w:r>
            <w:instrText xml:space="preserve"> PAGEREF _Toc15092 \h </w:instrText>
          </w:r>
          <w:r>
            <w:fldChar w:fldCharType="separate"/>
          </w:r>
          <w:r>
            <w:t>32</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_Toc12682 </w:instrText>
          </w:r>
          <w:r>
            <w:rPr>
              <w:rFonts w:asciiTheme="minorEastAsia" w:hAnsiTheme="minorEastAsia" w:eastAsiaTheme="minorEastAsia"/>
              <w:bCs/>
              <w:lang w:val="zh-CN"/>
            </w:rPr>
            <w:fldChar w:fldCharType="separate"/>
          </w:r>
          <w:r>
            <w:rPr>
              <w:rFonts w:hint="eastAsia"/>
            </w:rPr>
            <w:t>5.7 PTU</w:t>
          </w:r>
          <w:r>
            <w:t>以太网接口</w:t>
          </w:r>
          <w:r>
            <w:tab/>
          </w:r>
          <w:r>
            <w:fldChar w:fldCharType="begin"/>
          </w:r>
          <w:r>
            <w:instrText xml:space="preserve"> PAGEREF _Toc12682 \h </w:instrText>
          </w:r>
          <w:r>
            <w:fldChar w:fldCharType="separate"/>
          </w:r>
          <w:r>
            <w:t>33</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_Toc18744 </w:instrText>
          </w:r>
          <w:r>
            <w:rPr>
              <w:rFonts w:asciiTheme="minorEastAsia" w:hAnsiTheme="minorEastAsia" w:eastAsiaTheme="minorEastAsia"/>
              <w:bCs/>
              <w:lang w:val="zh-CN"/>
            </w:rPr>
            <w:fldChar w:fldCharType="separate"/>
          </w:r>
          <w:r>
            <w:rPr>
              <w:rFonts w:hint="eastAsia"/>
            </w:rPr>
            <w:t xml:space="preserve">5.8 </w:t>
          </w:r>
          <w:r>
            <w:t>SWD</w:t>
          </w:r>
          <w:r>
            <w:rPr>
              <w:rFonts w:hint="eastAsia"/>
            </w:rPr>
            <w:t>隔离</w:t>
          </w:r>
          <w:r>
            <w:t>接口</w:t>
          </w:r>
          <w:r>
            <w:tab/>
          </w:r>
          <w:r>
            <w:fldChar w:fldCharType="begin"/>
          </w:r>
          <w:r>
            <w:instrText xml:space="preserve"> PAGEREF _Toc18744 \h </w:instrText>
          </w:r>
          <w:r>
            <w:fldChar w:fldCharType="separate"/>
          </w:r>
          <w:r>
            <w:t>33</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_Toc25105 </w:instrText>
          </w:r>
          <w:r>
            <w:rPr>
              <w:rFonts w:asciiTheme="minorEastAsia" w:hAnsiTheme="minorEastAsia" w:eastAsiaTheme="minorEastAsia"/>
              <w:bCs/>
              <w:lang w:val="zh-CN"/>
            </w:rPr>
            <w:fldChar w:fldCharType="separate"/>
          </w:r>
          <w:r>
            <w:rPr>
              <w:rFonts w:hint="eastAsia"/>
            </w:rPr>
            <w:t xml:space="preserve">5.9 </w:t>
          </w:r>
          <w:r>
            <w:t>RS485</w:t>
          </w:r>
          <w:r>
            <w:tab/>
          </w:r>
          <w:r>
            <w:fldChar w:fldCharType="begin"/>
          </w:r>
          <w:r>
            <w:instrText xml:space="preserve"> PAGEREF _Toc25105 \h </w:instrText>
          </w:r>
          <w:r>
            <w:fldChar w:fldCharType="separate"/>
          </w:r>
          <w:r>
            <w:t>33</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_Toc16714 </w:instrText>
          </w:r>
          <w:r>
            <w:rPr>
              <w:rFonts w:asciiTheme="minorEastAsia" w:hAnsiTheme="minorEastAsia" w:eastAsiaTheme="minorEastAsia"/>
              <w:bCs/>
              <w:lang w:val="zh-CN"/>
            </w:rPr>
            <w:fldChar w:fldCharType="separate"/>
          </w:r>
          <w:r>
            <w:rPr>
              <w:rFonts w:hint="eastAsia"/>
            </w:rPr>
            <w:t>5.10 CAN</w:t>
          </w:r>
          <w:r>
            <w:tab/>
          </w:r>
          <w:r>
            <w:fldChar w:fldCharType="begin"/>
          </w:r>
          <w:r>
            <w:instrText xml:space="preserve"> PAGEREF _Toc16714 \h </w:instrText>
          </w:r>
          <w:r>
            <w:fldChar w:fldCharType="separate"/>
          </w:r>
          <w:r>
            <w:t>33</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_Toc2560 </w:instrText>
          </w:r>
          <w:r>
            <w:rPr>
              <w:rFonts w:asciiTheme="minorEastAsia" w:hAnsiTheme="minorEastAsia" w:eastAsiaTheme="minorEastAsia"/>
              <w:bCs/>
              <w:lang w:val="zh-CN"/>
            </w:rPr>
            <w:fldChar w:fldCharType="separate"/>
          </w:r>
          <w:r>
            <w:rPr>
              <w:rFonts w:hint="eastAsia"/>
            </w:rPr>
            <w:t xml:space="preserve">5.11 </w:t>
          </w:r>
          <w:r>
            <w:t>PC104</w:t>
          </w:r>
          <w:r>
            <w:rPr>
              <w:rFonts w:hint="eastAsia"/>
            </w:rPr>
            <w:t>接口</w:t>
          </w:r>
          <w:r>
            <w:tab/>
          </w:r>
          <w:r>
            <w:fldChar w:fldCharType="begin"/>
          </w:r>
          <w:r>
            <w:instrText xml:space="preserve"> PAGEREF _Toc2560 \h </w:instrText>
          </w:r>
          <w:r>
            <w:fldChar w:fldCharType="separate"/>
          </w:r>
          <w:r>
            <w:t>33</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_Toc4524 </w:instrText>
          </w:r>
          <w:r>
            <w:rPr>
              <w:rFonts w:asciiTheme="minorEastAsia" w:hAnsiTheme="minorEastAsia" w:eastAsiaTheme="minorEastAsia"/>
              <w:bCs/>
              <w:lang w:val="zh-CN"/>
            </w:rPr>
            <w:fldChar w:fldCharType="separate"/>
          </w:r>
          <w:r>
            <w:rPr>
              <w:rFonts w:hint="eastAsia"/>
            </w:rPr>
            <w:t xml:space="preserve">5.12 </w:t>
          </w:r>
          <w:r>
            <w:t>ETH网络接口</w:t>
          </w:r>
          <w:r>
            <w:tab/>
          </w:r>
          <w:r>
            <w:fldChar w:fldCharType="begin"/>
          </w:r>
          <w:r>
            <w:instrText xml:space="preserve"> PAGEREF _Toc4524 \h </w:instrText>
          </w:r>
          <w:r>
            <w:fldChar w:fldCharType="separate"/>
          </w:r>
          <w:r>
            <w:t>34</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_Toc22124 </w:instrText>
          </w:r>
          <w:r>
            <w:rPr>
              <w:rFonts w:asciiTheme="minorEastAsia" w:hAnsiTheme="minorEastAsia" w:eastAsiaTheme="minorEastAsia"/>
              <w:bCs/>
              <w:lang w:val="zh-CN"/>
            </w:rPr>
            <w:fldChar w:fldCharType="separate"/>
          </w:r>
          <w:r>
            <w:rPr>
              <w:rFonts w:hint="eastAsia"/>
            </w:rPr>
            <w:t>6 KPC软件参数</w:t>
          </w:r>
          <w:r>
            <w:tab/>
          </w:r>
          <w:r>
            <w:fldChar w:fldCharType="begin"/>
          </w:r>
          <w:r>
            <w:instrText xml:space="preserve"> PAGEREF _Toc22124 \h </w:instrText>
          </w:r>
          <w:r>
            <w:fldChar w:fldCharType="separate"/>
          </w:r>
          <w:r>
            <w:t>34</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_Toc12623 </w:instrText>
          </w:r>
          <w:r>
            <w:rPr>
              <w:rFonts w:asciiTheme="minorEastAsia" w:hAnsiTheme="minorEastAsia" w:eastAsiaTheme="minorEastAsia"/>
              <w:bCs/>
              <w:lang w:val="zh-CN"/>
            </w:rPr>
            <w:fldChar w:fldCharType="separate"/>
          </w:r>
          <w:r>
            <w:rPr>
              <w:rFonts w:hint="eastAsia"/>
            </w:rPr>
            <w:t xml:space="preserve">7 </w:t>
          </w:r>
          <w:r>
            <w:t>试验要求</w:t>
          </w:r>
          <w:r>
            <w:tab/>
          </w:r>
          <w:r>
            <w:fldChar w:fldCharType="begin"/>
          </w:r>
          <w:r>
            <w:instrText xml:space="preserve"> PAGEREF _Toc12623 \h </w:instrText>
          </w:r>
          <w:r>
            <w:fldChar w:fldCharType="separate"/>
          </w:r>
          <w:r>
            <w:t>34</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_Toc12271 </w:instrText>
          </w:r>
          <w:r>
            <w:rPr>
              <w:rFonts w:asciiTheme="minorEastAsia" w:hAnsiTheme="minorEastAsia" w:eastAsiaTheme="minorEastAsia"/>
              <w:bCs/>
              <w:lang w:val="zh-CN"/>
            </w:rPr>
            <w:fldChar w:fldCharType="separate"/>
          </w:r>
          <w:r>
            <w:rPr>
              <w:rFonts w:hint="eastAsia"/>
            </w:rPr>
            <w:t xml:space="preserve">7.1 </w:t>
          </w:r>
          <w:r>
            <w:t>供应商应编制试验大纲，由国祥批准。</w:t>
          </w:r>
          <w:r>
            <w:tab/>
          </w:r>
          <w:r>
            <w:fldChar w:fldCharType="begin"/>
          </w:r>
          <w:r>
            <w:instrText xml:space="preserve"> PAGEREF _Toc12271 \h </w:instrText>
          </w:r>
          <w:r>
            <w:fldChar w:fldCharType="separate"/>
          </w:r>
          <w:r>
            <w:t>34</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_Toc9768 </w:instrText>
          </w:r>
          <w:r>
            <w:rPr>
              <w:rFonts w:asciiTheme="minorEastAsia" w:hAnsiTheme="minorEastAsia" w:eastAsiaTheme="minorEastAsia"/>
              <w:bCs/>
              <w:lang w:val="zh-CN"/>
            </w:rPr>
            <w:fldChar w:fldCharType="separate"/>
          </w:r>
          <w:r>
            <w:rPr>
              <w:rFonts w:hint="eastAsia"/>
            </w:rPr>
            <w:t xml:space="preserve">8 </w:t>
          </w:r>
          <w:r>
            <w:t>供应商的工作</w:t>
          </w:r>
          <w:r>
            <w:tab/>
          </w:r>
          <w:r>
            <w:fldChar w:fldCharType="begin"/>
          </w:r>
          <w:r>
            <w:instrText xml:space="preserve"> PAGEREF _Toc9768 \h </w:instrText>
          </w:r>
          <w:r>
            <w:fldChar w:fldCharType="separate"/>
          </w:r>
          <w:r>
            <w:t>35</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_Toc19805 </w:instrText>
          </w:r>
          <w:r>
            <w:rPr>
              <w:rFonts w:asciiTheme="minorEastAsia" w:hAnsiTheme="minorEastAsia" w:eastAsiaTheme="minorEastAsia"/>
              <w:bCs/>
              <w:lang w:val="zh-CN"/>
            </w:rPr>
            <w:fldChar w:fldCharType="separate"/>
          </w:r>
          <w:r>
            <w:rPr>
              <w:rFonts w:hint="eastAsia"/>
            </w:rPr>
            <w:t xml:space="preserve">8.1 </w:t>
          </w:r>
          <w:r>
            <w:t>根据国祥提供的技术条件进行试制。</w:t>
          </w:r>
          <w:r>
            <w:tab/>
          </w:r>
          <w:r>
            <w:fldChar w:fldCharType="begin"/>
          </w:r>
          <w:r>
            <w:instrText xml:space="preserve"> PAGEREF _Toc19805 \h </w:instrText>
          </w:r>
          <w:r>
            <w:fldChar w:fldCharType="separate"/>
          </w:r>
          <w:r>
            <w:t>35</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_Toc22923 </w:instrText>
          </w:r>
          <w:r>
            <w:rPr>
              <w:rFonts w:asciiTheme="minorEastAsia" w:hAnsiTheme="minorEastAsia" w:eastAsiaTheme="minorEastAsia"/>
              <w:bCs/>
              <w:lang w:val="zh-CN"/>
            </w:rPr>
            <w:fldChar w:fldCharType="separate"/>
          </w:r>
          <w:r>
            <w:rPr>
              <w:rFonts w:hint="eastAsia"/>
            </w:rPr>
            <w:t xml:space="preserve">8.2 </w:t>
          </w:r>
          <w:r>
            <w:t>编制型式试验和例行试验大纲。</w:t>
          </w:r>
          <w:r>
            <w:tab/>
          </w:r>
          <w:r>
            <w:fldChar w:fldCharType="begin"/>
          </w:r>
          <w:r>
            <w:instrText xml:space="preserve"> PAGEREF _Toc22923 \h </w:instrText>
          </w:r>
          <w:r>
            <w:fldChar w:fldCharType="separate"/>
          </w:r>
          <w:r>
            <w:t>35</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_Toc4427 </w:instrText>
          </w:r>
          <w:r>
            <w:rPr>
              <w:rFonts w:asciiTheme="minorEastAsia" w:hAnsiTheme="minorEastAsia" w:eastAsiaTheme="minorEastAsia"/>
              <w:bCs/>
              <w:lang w:val="zh-CN"/>
            </w:rPr>
            <w:fldChar w:fldCharType="separate"/>
          </w:r>
          <w:r>
            <w:rPr>
              <w:rFonts w:hint="eastAsia"/>
            </w:rPr>
            <w:t xml:space="preserve">8.3 </w:t>
          </w:r>
          <w:r>
            <w:t>提交材料证明报告</w:t>
          </w:r>
          <w:r>
            <w:tab/>
          </w:r>
          <w:r>
            <w:fldChar w:fldCharType="begin"/>
          </w:r>
          <w:r>
            <w:instrText xml:space="preserve"> PAGEREF _Toc4427 \h </w:instrText>
          </w:r>
          <w:r>
            <w:fldChar w:fldCharType="separate"/>
          </w:r>
          <w:r>
            <w:t>35</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_Toc28703 </w:instrText>
          </w:r>
          <w:r>
            <w:rPr>
              <w:rFonts w:asciiTheme="minorEastAsia" w:hAnsiTheme="minorEastAsia" w:eastAsiaTheme="minorEastAsia"/>
              <w:bCs/>
              <w:lang w:val="zh-CN"/>
            </w:rPr>
            <w:fldChar w:fldCharType="separate"/>
          </w:r>
          <w:r>
            <w:rPr>
              <w:rFonts w:hint="eastAsia"/>
            </w:rPr>
            <w:t xml:space="preserve">8.4 </w:t>
          </w:r>
          <w:r>
            <w:t>型式试验和例行试验</w:t>
          </w:r>
          <w:r>
            <w:tab/>
          </w:r>
          <w:r>
            <w:fldChar w:fldCharType="begin"/>
          </w:r>
          <w:r>
            <w:instrText xml:space="preserve"> PAGEREF _Toc28703 \h </w:instrText>
          </w:r>
          <w:r>
            <w:fldChar w:fldCharType="separate"/>
          </w:r>
          <w:r>
            <w:t>36</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_Toc12445 </w:instrText>
          </w:r>
          <w:r>
            <w:rPr>
              <w:rFonts w:asciiTheme="minorEastAsia" w:hAnsiTheme="minorEastAsia" w:eastAsiaTheme="minorEastAsia"/>
              <w:bCs/>
              <w:lang w:val="zh-CN"/>
            </w:rPr>
            <w:fldChar w:fldCharType="separate"/>
          </w:r>
          <w:r>
            <w:rPr>
              <w:rFonts w:hint="eastAsia"/>
            </w:rPr>
            <w:t xml:space="preserve">8.5 </w:t>
          </w:r>
          <w:r>
            <w:t>供货试装车，配合运行考核及负责可能的整改。</w:t>
          </w:r>
          <w:r>
            <w:tab/>
          </w:r>
          <w:r>
            <w:fldChar w:fldCharType="begin"/>
          </w:r>
          <w:r>
            <w:instrText xml:space="preserve"> PAGEREF _Toc12445 \h </w:instrText>
          </w:r>
          <w:r>
            <w:fldChar w:fldCharType="separate"/>
          </w:r>
          <w:r>
            <w:t>36</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_Toc19109 </w:instrText>
          </w:r>
          <w:r>
            <w:rPr>
              <w:rFonts w:asciiTheme="minorEastAsia" w:hAnsiTheme="minorEastAsia" w:eastAsiaTheme="minorEastAsia"/>
              <w:bCs/>
              <w:lang w:val="zh-CN"/>
            </w:rPr>
            <w:fldChar w:fldCharType="separate"/>
          </w:r>
          <w:r>
            <w:rPr>
              <w:rFonts w:hint="eastAsia"/>
            </w:rPr>
            <w:t xml:space="preserve">9 </w:t>
          </w:r>
          <w:r>
            <w:t>技术资料及随机提供物品</w:t>
          </w:r>
          <w:r>
            <w:tab/>
          </w:r>
          <w:r>
            <w:fldChar w:fldCharType="begin"/>
          </w:r>
          <w:r>
            <w:instrText xml:space="preserve"> PAGEREF _Toc19109 \h </w:instrText>
          </w:r>
          <w:r>
            <w:fldChar w:fldCharType="separate"/>
          </w:r>
          <w:r>
            <w:t>36</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_Toc21175 </w:instrText>
          </w:r>
          <w:r>
            <w:rPr>
              <w:rFonts w:asciiTheme="minorEastAsia" w:hAnsiTheme="minorEastAsia" w:eastAsiaTheme="minorEastAsia"/>
              <w:bCs/>
              <w:lang w:val="zh-CN"/>
            </w:rPr>
            <w:fldChar w:fldCharType="separate"/>
          </w:r>
          <w:r>
            <w:rPr>
              <w:rFonts w:hint="eastAsia"/>
            </w:rPr>
            <w:t xml:space="preserve">9.1 </w:t>
          </w:r>
          <w:r>
            <w:t>技术文件</w:t>
          </w:r>
          <w:r>
            <w:tab/>
          </w:r>
          <w:r>
            <w:fldChar w:fldCharType="begin"/>
          </w:r>
          <w:r>
            <w:instrText xml:space="preserve"> PAGEREF _Toc21175 \h </w:instrText>
          </w:r>
          <w:r>
            <w:fldChar w:fldCharType="separate"/>
          </w:r>
          <w:r>
            <w:t>36</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_Toc15863 </w:instrText>
          </w:r>
          <w:r>
            <w:rPr>
              <w:rFonts w:asciiTheme="minorEastAsia" w:hAnsiTheme="minorEastAsia" w:eastAsiaTheme="minorEastAsia"/>
              <w:bCs/>
              <w:lang w:val="zh-CN"/>
            </w:rPr>
            <w:fldChar w:fldCharType="separate"/>
          </w:r>
          <w:r>
            <w:rPr>
              <w:rFonts w:hint="eastAsia"/>
            </w:rPr>
            <w:t xml:space="preserve">9.2 </w:t>
          </w:r>
          <w:r>
            <w:t>合格证</w:t>
          </w:r>
          <w:r>
            <w:tab/>
          </w:r>
          <w:r>
            <w:fldChar w:fldCharType="begin"/>
          </w:r>
          <w:r>
            <w:instrText xml:space="preserve"> PAGEREF _Toc15863 \h </w:instrText>
          </w:r>
          <w:r>
            <w:fldChar w:fldCharType="separate"/>
          </w:r>
          <w:r>
            <w:t>36</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_Toc8197 </w:instrText>
          </w:r>
          <w:r>
            <w:rPr>
              <w:rFonts w:asciiTheme="minorEastAsia" w:hAnsiTheme="minorEastAsia" w:eastAsiaTheme="minorEastAsia"/>
              <w:bCs/>
              <w:lang w:val="zh-CN"/>
            </w:rPr>
            <w:fldChar w:fldCharType="separate"/>
          </w:r>
          <w:r>
            <w:rPr>
              <w:rFonts w:hint="eastAsia"/>
            </w:rPr>
            <w:t xml:space="preserve">10 </w:t>
          </w:r>
          <w:r>
            <w:t>包装及贮存</w:t>
          </w:r>
          <w:r>
            <w:tab/>
          </w:r>
          <w:r>
            <w:fldChar w:fldCharType="begin"/>
          </w:r>
          <w:r>
            <w:instrText xml:space="preserve"> PAGEREF _Toc8197 \h </w:instrText>
          </w:r>
          <w:r>
            <w:fldChar w:fldCharType="separate"/>
          </w:r>
          <w:r>
            <w:t>37</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_Toc17374 </w:instrText>
          </w:r>
          <w:r>
            <w:rPr>
              <w:rFonts w:asciiTheme="minorEastAsia" w:hAnsiTheme="minorEastAsia" w:eastAsiaTheme="minorEastAsia"/>
              <w:bCs/>
              <w:lang w:val="zh-CN"/>
            </w:rPr>
            <w:fldChar w:fldCharType="separate"/>
          </w:r>
          <w:r>
            <w:rPr>
              <w:rFonts w:hint="eastAsia"/>
            </w:rPr>
            <w:t xml:space="preserve">11 </w:t>
          </w:r>
          <w:r>
            <w:t>其它事项</w:t>
          </w:r>
          <w:r>
            <w:tab/>
          </w:r>
          <w:r>
            <w:fldChar w:fldCharType="begin"/>
          </w:r>
          <w:r>
            <w:instrText xml:space="preserve"> PAGEREF _Toc17374 \h </w:instrText>
          </w:r>
          <w:r>
            <w:fldChar w:fldCharType="separate"/>
          </w:r>
          <w:r>
            <w:t>37</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_Toc6647 </w:instrText>
          </w:r>
          <w:r>
            <w:rPr>
              <w:rFonts w:asciiTheme="minorEastAsia" w:hAnsiTheme="minorEastAsia" w:eastAsiaTheme="minorEastAsia"/>
              <w:bCs/>
              <w:lang w:val="zh-CN"/>
            </w:rPr>
            <w:fldChar w:fldCharType="separate"/>
          </w:r>
          <w:r>
            <w:rPr>
              <w:rFonts w:hint="eastAsia"/>
            </w:rPr>
            <w:t>附录1：NTC10K温度传感器阻值对应表</w:t>
          </w:r>
          <w:r>
            <w:tab/>
          </w:r>
          <w:r>
            <w:fldChar w:fldCharType="begin"/>
          </w:r>
          <w:r>
            <w:instrText xml:space="preserve"> PAGEREF _Toc6647 \h </w:instrText>
          </w:r>
          <w:r>
            <w:fldChar w:fldCharType="separate"/>
          </w:r>
          <w:r>
            <w:t>38</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_Toc13233 </w:instrText>
          </w:r>
          <w:r>
            <w:rPr>
              <w:rFonts w:asciiTheme="minorEastAsia" w:hAnsiTheme="minorEastAsia" w:eastAsiaTheme="minorEastAsia"/>
              <w:bCs/>
              <w:lang w:val="zh-CN"/>
            </w:rPr>
            <w:fldChar w:fldCharType="separate"/>
          </w:r>
          <w:r>
            <w:t>附录</w:t>
          </w:r>
          <w:r>
            <w:rPr>
              <w:rFonts w:hint="eastAsia"/>
            </w:rPr>
            <w:t>2：</w:t>
          </w:r>
          <w:r>
            <w:t>M12-D型连接器引脚定义</w:t>
          </w:r>
          <w:r>
            <w:tab/>
          </w:r>
          <w:r>
            <w:fldChar w:fldCharType="begin"/>
          </w:r>
          <w:r>
            <w:instrText xml:space="preserve"> PAGEREF _Toc13233 \h </w:instrText>
          </w:r>
          <w:r>
            <w:fldChar w:fldCharType="separate"/>
          </w:r>
          <w:r>
            <w:t>39</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_Toc12195 </w:instrText>
          </w:r>
          <w:r>
            <w:rPr>
              <w:rFonts w:asciiTheme="minorEastAsia" w:hAnsiTheme="minorEastAsia" w:eastAsiaTheme="minorEastAsia"/>
              <w:bCs/>
              <w:lang w:val="zh-CN"/>
            </w:rPr>
            <w:fldChar w:fldCharType="separate"/>
          </w:r>
          <w:r>
            <w:rPr>
              <w:rFonts w:hint="eastAsia"/>
            </w:rPr>
            <w:t>附录3：紧固力矩要求</w:t>
          </w:r>
          <w:r>
            <w:tab/>
          </w:r>
          <w:r>
            <w:fldChar w:fldCharType="begin"/>
          </w:r>
          <w:r>
            <w:instrText xml:space="preserve"> PAGEREF _Toc12195 \h </w:instrText>
          </w:r>
          <w:r>
            <w:fldChar w:fldCharType="separate"/>
          </w:r>
          <w:r>
            <w:t>40</w:t>
          </w:r>
          <w:r>
            <w:fldChar w:fldCharType="end"/>
          </w:r>
          <w:r>
            <w:rPr>
              <w:rFonts w:asciiTheme="minorEastAsia" w:hAnsiTheme="minorEastAsia" w:eastAsiaTheme="minorEastAsia"/>
              <w:bCs/>
              <w:lang w:val="zh-CN"/>
            </w:rPr>
            <w:fldChar w:fldCharType="end"/>
          </w:r>
        </w:p>
        <w:p>
          <w:pPr>
            <w:pStyle w:val="32"/>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_Toc18654 </w:instrText>
          </w:r>
          <w:r>
            <w:rPr>
              <w:rFonts w:asciiTheme="minorEastAsia" w:hAnsiTheme="minorEastAsia" w:eastAsiaTheme="minorEastAsia"/>
              <w:bCs/>
              <w:lang w:val="zh-CN"/>
            </w:rPr>
            <w:fldChar w:fldCharType="separate"/>
          </w:r>
          <w:r>
            <w:rPr>
              <w:rFonts w:hint="eastAsia"/>
            </w:rPr>
            <w:t>附录4：端子接口定义</w:t>
          </w:r>
          <w:r>
            <w:tab/>
          </w:r>
          <w:r>
            <w:fldChar w:fldCharType="begin"/>
          </w:r>
          <w:r>
            <w:instrText xml:space="preserve"> PAGEREF _Toc18654 \h </w:instrText>
          </w:r>
          <w:r>
            <w:fldChar w:fldCharType="separate"/>
          </w:r>
          <w:r>
            <w:t>41</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_Toc23720 </w:instrText>
          </w:r>
          <w:r>
            <w:rPr>
              <w:rFonts w:asciiTheme="minorEastAsia" w:hAnsiTheme="minorEastAsia" w:eastAsiaTheme="minorEastAsia"/>
              <w:bCs/>
              <w:lang w:val="zh-CN"/>
            </w:rPr>
            <w:fldChar w:fldCharType="separate"/>
          </w:r>
          <w:r>
            <w:rPr>
              <w:rFonts w:hint="eastAsia"/>
            </w:rPr>
            <w:t>表 20 KPC18-02(2.02.25.0225)型控制器端子定义</w:t>
          </w:r>
          <w:r>
            <w:tab/>
          </w:r>
          <w:r>
            <w:fldChar w:fldCharType="begin"/>
          </w:r>
          <w:r>
            <w:instrText xml:space="preserve"> PAGEREF _Toc23720 \h </w:instrText>
          </w:r>
          <w:r>
            <w:fldChar w:fldCharType="separate"/>
          </w:r>
          <w:r>
            <w:t>41</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_Toc11979 </w:instrText>
          </w:r>
          <w:r>
            <w:rPr>
              <w:rFonts w:asciiTheme="minorEastAsia" w:hAnsiTheme="minorEastAsia" w:eastAsiaTheme="minorEastAsia"/>
              <w:bCs/>
              <w:lang w:val="zh-CN"/>
            </w:rPr>
            <w:fldChar w:fldCharType="separate"/>
          </w:r>
          <w:r>
            <w:rPr>
              <w:rFonts w:hint="eastAsia"/>
            </w:rPr>
            <w:t>表 21 KPC18-02(2.02.25.0333)型控制器端子定义</w:t>
          </w:r>
          <w:r>
            <w:tab/>
          </w:r>
          <w:r>
            <w:fldChar w:fldCharType="begin"/>
          </w:r>
          <w:r>
            <w:instrText xml:space="preserve"> PAGEREF _Toc11979 \h </w:instrText>
          </w:r>
          <w:r>
            <w:fldChar w:fldCharType="separate"/>
          </w:r>
          <w:r>
            <w:t>45</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_Toc19469 </w:instrText>
          </w:r>
          <w:r>
            <w:rPr>
              <w:rFonts w:asciiTheme="minorEastAsia" w:hAnsiTheme="minorEastAsia" w:eastAsiaTheme="minorEastAsia"/>
              <w:bCs/>
              <w:lang w:val="zh-CN"/>
            </w:rPr>
            <w:fldChar w:fldCharType="separate"/>
          </w:r>
          <w:r>
            <w:rPr>
              <w:rFonts w:hint="eastAsia"/>
            </w:rPr>
            <w:t>表 22 KPC18-02(2.02.25.0334)型控制器端子定义</w:t>
          </w:r>
          <w:r>
            <w:tab/>
          </w:r>
          <w:r>
            <w:fldChar w:fldCharType="begin"/>
          </w:r>
          <w:r>
            <w:instrText xml:space="preserve"> PAGEREF _Toc19469 \h </w:instrText>
          </w:r>
          <w:r>
            <w:fldChar w:fldCharType="separate"/>
          </w:r>
          <w:r>
            <w:t>50</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_Toc17587 </w:instrText>
          </w:r>
          <w:r>
            <w:rPr>
              <w:rFonts w:asciiTheme="minorEastAsia" w:hAnsiTheme="minorEastAsia" w:eastAsiaTheme="minorEastAsia"/>
              <w:bCs/>
              <w:lang w:val="zh-CN"/>
            </w:rPr>
            <w:fldChar w:fldCharType="separate"/>
          </w:r>
          <w:r>
            <w:rPr>
              <w:rFonts w:hint="eastAsia"/>
              <w:color w:val="044A91" w:themeColor="hyperlink" w:themeShade="BF"/>
            </w:rPr>
            <w:t>表 23 KPC18-02(2</w:t>
          </w:r>
          <w:r>
            <w:rPr>
              <w:color w:val="044A91" w:themeColor="hyperlink" w:themeShade="BF"/>
            </w:rPr>
            <w:t>.02.25.0339</w:t>
          </w:r>
          <w:r>
            <w:rPr>
              <w:rFonts w:hint="eastAsia"/>
              <w:color w:val="044A91" w:themeColor="hyperlink" w:themeShade="BF"/>
            </w:rPr>
            <w:t>)型控制器端子定义</w:t>
          </w:r>
          <w:r>
            <w:tab/>
          </w:r>
          <w:r>
            <w:fldChar w:fldCharType="begin"/>
          </w:r>
          <w:r>
            <w:instrText xml:space="preserve"> PAGEREF _Toc17587 \h </w:instrText>
          </w:r>
          <w:r>
            <w:fldChar w:fldCharType="separate"/>
          </w:r>
          <w:r>
            <w:t>55</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_Toc1838 </w:instrText>
          </w:r>
          <w:r>
            <w:rPr>
              <w:rFonts w:asciiTheme="minorEastAsia" w:hAnsiTheme="minorEastAsia" w:eastAsiaTheme="minorEastAsia"/>
              <w:bCs/>
              <w:lang w:val="zh-CN"/>
            </w:rPr>
            <w:fldChar w:fldCharType="separate"/>
          </w:r>
          <w:r>
            <w:t>表 24</w:t>
          </w:r>
          <w:r>
            <w:rPr>
              <w:rFonts w:hint="eastAsia"/>
            </w:rPr>
            <w:t xml:space="preserve"> KPC18-02</w:t>
          </w:r>
          <w:r>
            <w:t>/A</w:t>
          </w:r>
          <w:r>
            <w:rPr>
              <w:rFonts w:hint="eastAsia"/>
            </w:rPr>
            <w:t>(2.02.25.03</w:t>
          </w:r>
          <w:r>
            <w:t>45</w:t>
          </w:r>
          <w:r>
            <w:rPr>
              <w:rFonts w:hint="eastAsia"/>
            </w:rPr>
            <w:t>)型控制器端子定义</w:t>
          </w:r>
          <w:r>
            <w:tab/>
          </w:r>
          <w:r>
            <w:fldChar w:fldCharType="begin"/>
          </w:r>
          <w:r>
            <w:instrText xml:space="preserve"> PAGEREF _Toc1838 \h </w:instrText>
          </w:r>
          <w:r>
            <w:fldChar w:fldCharType="separate"/>
          </w:r>
          <w:r>
            <w:t>60</w:t>
          </w:r>
          <w:r>
            <w:fldChar w:fldCharType="end"/>
          </w:r>
          <w:r>
            <w:rPr>
              <w:rFonts w:asciiTheme="minorEastAsia" w:hAnsiTheme="minorEastAsia" w:eastAsiaTheme="minorEastAsia"/>
              <w:bCs/>
              <w:lang w:val="zh-CN"/>
            </w:rPr>
            <w:fldChar w:fldCharType="end"/>
          </w:r>
        </w:p>
        <w:p>
          <w:pPr>
            <w:pStyle w:val="39"/>
            <w:tabs>
              <w:tab w:val="right" w:leader="dot" w:pos="9071"/>
            </w:tabs>
          </w:pPr>
          <w:r>
            <w:rPr>
              <w:rFonts w:asciiTheme="minorEastAsia" w:hAnsiTheme="minorEastAsia" w:eastAsiaTheme="minorEastAsia"/>
              <w:bCs/>
              <w:lang w:val="zh-CN"/>
            </w:rPr>
            <w:fldChar w:fldCharType="begin"/>
          </w:r>
          <w:r>
            <w:rPr>
              <w:rFonts w:asciiTheme="minorEastAsia" w:hAnsiTheme="minorEastAsia" w:eastAsiaTheme="minorEastAsia"/>
              <w:bCs/>
              <w:lang w:val="zh-CN"/>
            </w:rPr>
            <w:instrText xml:space="preserve"> HYPERLINK \l _Toc8549 </w:instrText>
          </w:r>
          <w:r>
            <w:rPr>
              <w:rFonts w:asciiTheme="minorEastAsia" w:hAnsiTheme="minorEastAsia" w:eastAsiaTheme="minorEastAsia"/>
              <w:bCs/>
              <w:lang w:val="zh-CN"/>
            </w:rPr>
            <w:fldChar w:fldCharType="separate"/>
          </w:r>
          <w:r>
            <w:t>表 25</w:t>
          </w:r>
          <w:r>
            <w:rPr>
              <w:rFonts w:hint="eastAsia"/>
              <w:lang w:val="en-US" w:eastAsia="zh-CN"/>
            </w:rPr>
            <w:t xml:space="preserve"> KPC18-02/B(2.02.25.0441)型控制器端子定义</w:t>
          </w:r>
          <w:r>
            <w:tab/>
          </w:r>
          <w:r>
            <w:fldChar w:fldCharType="begin"/>
          </w:r>
          <w:r>
            <w:instrText xml:space="preserve"> PAGEREF _Toc8549 \h </w:instrText>
          </w:r>
          <w:r>
            <w:fldChar w:fldCharType="separate"/>
          </w:r>
          <w:r>
            <w:t>61</w:t>
          </w:r>
          <w:r>
            <w:fldChar w:fldCharType="end"/>
          </w:r>
          <w:r>
            <w:rPr>
              <w:rFonts w:asciiTheme="minorEastAsia" w:hAnsiTheme="minorEastAsia" w:eastAsiaTheme="minorEastAsia"/>
              <w:bCs/>
              <w:lang w:val="zh-CN"/>
            </w:rPr>
            <w:fldChar w:fldCharType="end"/>
          </w:r>
        </w:p>
        <w:p>
          <w:pPr>
            <w:spacing w:line="240" w:lineRule="auto"/>
            <w:ind w:firstLine="480"/>
            <w:jc w:val="left"/>
            <w:rPr>
              <w:rFonts w:asciiTheme="minorEastAsia" w:hAnsiTheme="minorEastAsia" w:eastAsiaTheme="minorEastAsia"/>
            </w:rPr>
          </w:pPr>
          <w:r>
            <w:rPr>
              <w:rFonts w:asciiTheme="minorEastAsia" w:hAnsiTheme="minorEastAsia" w:eastAsiaTheme="minorEastAsia"/>
              <w:bCs/>
              <w:lang w:val="zh-CN"/>
            </w:rPr>
            <w:fldChar w:fldCharType="end"/>
          </w:r>
        </w:p>
      </w:sdtContent>
    </w:sdt>
    <w:p>
      <w:pPr>
        <w:adjustRightInd w:val="0"/>
        <w:snapToGrid w:val="0"/>
        <w:spacing w:line="280" w:lineRule="exact"/>
        <w:ind w:firstLine="482"/>
        <w:rPr>
          <w:rFonts w:ascii="Arial" w:hAnsi="Arial" w:cs="Arial"/>
          <w:b/>
        </w:rPr>
      </w:pPr>
    </w:p>
    <w:p>
      <w:pPr>
        <w:adjustRightInd w:val="0"/>
        <w:snapToGrid w:val="0"/>
        <w:spacing w:line="280" w:lineRule="exact"/>
        <w:ind w:firstLine="482"/>
        <w:rPr>
          <w:rFonts w:ascii="Arial" w:hAnsi="Arial" w:cs="Arial"/>
          <w:b/>
        </w:rPr>
        <w:sectPr>
          <w:footerReference r:id="rId13" w:type="first"/>
          <w:pgSz w:w="11907" w:h="16840"/>
          <w:pgMar w:top="1134" w:right="1418" w:bottom="1134" w:left="1418" w:header="794" w:footer="737" w:gutter="0"/>
          <w:pgBorders>
            <w:top w:val="none" w:sz="0" w:space="0"/>
            <w:left w:val="none" w:sz="0" w:space="0"/>
            <w:bottom w:val="none" w:sz="0" w:space="0"/>
            <w:right w:val="none" w:sz="0" w:space="0"/>
          </w:pgBorders>
          <w:cols w:space="425" w:num="1"/>
          <w:titlePg/>
          <w:docGrid w:linePitch="381" w:charSpace="0"/>
        </w:sectPr>
      </w:pPr>
    </w:p>
    <w:p>
      <w:pPr>
        <w:pStyle w:val="2"/>
        <w:spacing w:before="240" w:after="120"/>
      </w:pPr>
      <w:bookmarkStart w:id="24" w:name="_Toc11617"/>
      <w:r>
        <w:t>适用范围</w:t>
      </w:r>
      <w:bookmarkEnd w:id="24"/>
    </w:p>
    <w:p>
      <w:pPr>
        <w:ind w:firstLine="480"/>
      </w:pPr>
      <w:r>
        <w:t>适用于KPC18-02</w:t>
      </w:r>
      <w:r>
        <w:rPr>
          <w:rFonts w:hint="eastAsia"/>
        </w:rPr>
        <w:t>型空调</w:t>
      </w:r>
      <w:r>
        <w:t>控制器（简称KPC）的订货和检查验收，</w:t>
      </w:r>
      <w:r>
        <w:rPr>
          <w:color w:val="FF0000"/>
        </w:rPr>
        <w:t>涉及产品如下：</w:t>
      </w:r>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1</w:t>
      </w:r>
      <w:r>
        <w:rPr>
          <w:color w:val="FF0000"/>
        </w:rPr>
        <w:fldChar w:fldCharType="end"/>
      </w:r>
      <w:r>
        <w:rPr>
          <w:rFonts w:hint="eastAsia"/>
          <w:color w:val="FF0000"/>
        </w:rPr>
        <w:t xml:space="preserve"> 适用产品范围</w:t>
      </w:r>
    </w:p>
    <w:tbl>
      <w:tblPr>
        <w:tblStyle w:val="61"/>
        <w:tblW w:w="87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53"/>
        <w:gridCol w:w="1725"/>
        <w:gridCol w:w="1667"/>
        <w:gridCol w:w="1508"/>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序号</w:t>
            </w:r>
          </w:p>
        </w:tc>
        <w:tc>
          <w:tcPr>
            <w:tcW w:w="1453"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物料名称</w:t>
            </w:r>
          </w:p>
        </w:tc>
        <w:tc>
          <w:tcPr>
            <w:tcW w:w="1725"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型号</w:t>
            </w:r>
          </w:p>
        </w:tc>
        <w:tc>
          <w:tcPr>
            <w:tcW w:w="1667"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物料代码</w:t>
            </w:r>
          </w:p>
        </w:tc>
        <w:tc>
          <w:tcPr>
            <w:tcW w:w="1508"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图号</w:t>
            </w:r>
          </w:p>
        </w:tc>
        <w:tc>
          <w:tcPr>
            <w:tcW w:w="1672" w:type="dxa"/>
          </w:tcPr>
          <w:p>
            <w:pPr>
              <w:keepNext w:val="0"/>
              <w:keepLines w:val="0"/>
              <w:suppressLineNumbers w:val="0"/>
              <w:spacing w:before="0" w:beforeAutospacing="0" w:after="0" w:afterAutospacing="0"/>
              <w:ind w:left="0" w:right="0" w:firstLine="0" w:firstLineChars="0"/>
              <w:jc w:val="center"/>
              <w:rPr>
                <w:rFonts w:hint="eastAsia" w:eastAsia="宋体"/>
                <w:szCs w:val="20"/>
                <w:lang w:val="en-US" w:eastAsia="zh-CN"/>
              </w:rPr>
            </w:pPr>
            <w:r>
              <w:rPr>
                <w:rFonts w:hint="eastAsia"/>
                <w:color w:val="70AD47" w:themeColor="accent6"/>
                <w:szCs w:val="20"/>
                <w:lang w:val="en-US" w:eastAsia="zh-CN"/>
                <w14:textFill>
                  <w14:solidFill>
                    <w14:schemeClr w14:val="accent6"/>
                  </w14:solidFill>
                </w14:textFill>
              </w:rPr>
              <w:t>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Pr>
          <w:p>
            <w:pPr>
              <w:pStyle w:val="193"/>
              <w:keepNext w:val="0"/>
              <w:keepLines w:val="0"/>
              <w:numPr>
                <w:ilvl w:val="0"/>
                <w:numId w:val="11"/>
              </w:numPr>
              <w:suppressLineNumbers w:val="0"/>
              <w:spacing w:before="0" w:beforeAutospacing="0" w:after="0" w:afterAutospacing="0"/>
              <w:ind w:right="0" w:firstLineChars="0"/>
              <w:jc w:val="center"/>
              <w:rPr>
                <w:rFonts w:hint="default"/>
              </w:rPr>
            </w:pPr>
          </w:p>
        </w:tc>
        <w:tc>
          <w:tcPr>
            <w:tcW w:w="1453"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控制器</w:t>
            </w:r>
          </w:p>
        </w:tc>
        <w:tc>
          <w:tcPr>
            <w:tcW w:w="1725"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KPC18-02</w:t>
            </w:r>
          </w:p>
        </w:tc>
        <w:tc>
          <w:tcPr>
            <w:tcW w:w="1667"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2.02.25.0225</w:t>
            </w:r>
          </w:p>
        </w:tc>
        <w:tc>
          <w:tcPr>
            <w:tcW w:w="1508"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P97K0063</w:t>
            </w:r>
          </w:p>
        </w:tc>
        <w:tc>
          <w:tcPr>
            <w:tcW w:w="1672" w:type="dxa"/>
          </w:tcPr>
          <w:p>
            <w:pPr>
              <w:keepNext w:val="0"/>
              <w:keepLines w:val="0"/>
              <w:suppressLineNumbers w:val="0"/>
              <w:spacing w:before="0" w:beforeAutospacing="0" w:after="0" w:afterAutospacing="0"/>
              <w:ind w:left="0" w:right="0" w:firstLine="0" w:firstLineChars="0"/>
              <w:jc w:val="center"/>
              <w:rPr>
                <w:rFonts w:hint="eastAsia"/>
                <w:color w:val="70AD47" w:themeColor="accent6"/>
                <w:szCs w:val="20"/>
                <w:lang w:val="en-US" w:eastAsia="zh-CN"/>
                <w14:textFill>
                  <w14:solidFill>
                    <w14:schemeClr w14:val="accent6"/>
                  </w14:solidFill>
                </w14:textFill>
              </w:rPr>
            </w:pPr>
            <w:r>
              <w:rPr>
                <w:rFonts w:hint="eastAsia"/>
                <w:color w:val="70AD47" w:themeColor="accent6"/>
                <w:szCs w:val="20"/>
                <w:lang w:val="en-US" w:eastAsia="zh-CN"/>
                <w14:textFill>
                  <w14:solidFill>
                    <w14:schemeClr w14:val="accent6"/>
                  </w14:solidFill>
                </w14:textFill>
              </w:rPr>
              <w:t>麦格米特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Pr>
          <w:p>
            <w:pPr>
              <w:pStyle w:val="193"/>
              <w:keepNext w:val="0"/>
              <w:keepLines w:val="0"/>
              <w:numPr>
                <w:ilvl w:val="0"/>
                <w:numId w:val="11"/>
              </w:numPr>
              <w:suppressLineNumbers w:val="0"/>
              <w:spacing w:before="0" w:beforeAutospacing="0" w:after="0" w:afterAutospacing="0"/>
              <w:ind w:right="0" w:firstLineChars="0"/>
              <w:jc w:val="center"/>
              <w:rPr>
                <w:rFonts w:hint="default"/>
                <w:color w:val="FF0000"/>
              </w:rPr>
            </w:pPr>
          </w:p>
        </w:tc>
        <w:tc>
          <w:tcPr>
            <w:tcW w:w="1453"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空调控制器</w:t>
            </w:r>
          </w:p>
        </w:tc>
        <w:tc>
          <w:tcPr>
            <w:tcW w:w="1725"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KPC18-02</w:t>
            </w:r>
          </w:p>
        </w:tc>
        <w:tc>
          <w:tcPr>
            <w:tcW w:w="166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2.02.25.0333</w:t>
            </w:r>
          </w:p>
        </w:tc>
        <w:tc>
          <w:tcPr>
            <w:tcW w:w="1508"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P97K0078</w:t>
            </w:r>
          </w:p>
        </w:tc>
        <w:tc>
          <w:tcPr>
            <w:tcW w:w="1672" w:type="dxa"/>
            <w:vAlign w:val="top"/>
          </w:tcPr>
          <w:p>
            <w:pPr>
              <w:keepNext w:val="0"/>
              <w:keepLines w:val="0"/>
              <w:suppressLineNumbers w:val="0"/>
              <w:spacing w:before="0" w:beforeAutospacing="0" w:after="0" w:afterAutospacing="0"/>
              <w:ind w:left="0" w:right="0" w:firstLine="0" w:firstLineChars="0"/>
              <w:jc w:val="center"/>
              <w:rPr>
                <w:rFonts w:hint="eastAsia"/>
                <w:color w:val="70AD47" w:themeColor="accent6"/>
                <w:szCs w:val="20"/>
                <w:lang w:val="en-US" w:eastAsia="zh-CN"/>
                <w14:textFill>
                  <w14:solidFill>
                    <w14:schemeClr w14:val="accent6"/>
                  </w14:solidFill>
                </w14:textFill>
              </w:rPr>
            </w:pPr>
            <w:r>
              <w:rPr>
                <w:rFonts w:hint="eastAsia"/>
                <w:color w:val="70AD47" w:themeColor="accent6"/>
                <w:szCs w:val="20"/>
                <w:lang w:val="en-US" w:eastAsia="zh-CN"/>
                <w14:textFill>
                  <w14:solidFill>
                    <w14:schemeClr w14:val="accent6"/>
                  </w14:solidFill>
                </w14:textFill>
              </w:rPr>
              <w:t>新能安华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Pr>
          <w:p>
            <w:pPr>
              <w:pStyle w:val="193"/>
              <w:keepNext w:val="0"/>
              <w:keepLines w:val="0"/>
              <w:numPr>
                <w:ilvl w:val="0"/>
                <w:numId w:val="11"/>
              </w:numPr>
              <w:suppressLineNumbers w:val="0"/>
              <w:spacing w:before="0" w:beforeAutospacing="0" w:after="0" w:afterAutospacing="0"/>
              <w:ind w:right="0" w:firstLineChars="0"/>
              <w:jc w:val="center"/>
              <w:rPr>
                <w:rFonts w:hint="default"/>
                <w:color w:val="FF0000"/>
              </w:rPr>
            </w:pPr>
          </w:p>
        </w:tc>
        <w:tc>
          <w:tcPr>
            <w:tcW w:w="1453"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空调控制器</w:t>
            </w:r>
          </w:p>
        </w:tc>
        <w:tc>
          <w:tcPr>
            <w:tcW w:w="1725"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KPC18-02</w:t>
            </w:r>
          </w:p>
        </w:tc>
        <w:tc>
          <w:tcPr>
            <w:tcW w:w="166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2.02.25.033</w:t>
            </w:r>
            <w:r>
              <w:rPr>
                <w:rFonts w:hint="eastAsia"/>
                <w:color w:val="FF0000"/>
                <w:szCs w:val="20"/>
              </w:rPr>
              <w:t>4</w:t>
            </w:r>
          </w:p>
        </w:tc>
        <w:tc>
          <w:tcPr>
            <w:tcW w:w="1508"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P97K0080</w:t>
            </w:r>
          </w:p>
        </w:tc>
        <w:tc>
          <w:tcPr>
            <w:tcW w:w="1672" w:type="dxa"/>
          </w:tcPr>
          <w:p>
            <w:pPr>
              <w:keepNext w:val="0"/>
              <w:keepLines w:val="0"/>
              <w:suppressLineNumbers w:val="0"/>
              <w:spacing w:before="0" w:beforeAutospacing="0" w:after="0" w:afterAutospacing="0"/>
              <w:ind w:left="0" w:right="0" w:firstLine="0" w:firstLineChars="0"/>
              <w:jc w:val="center"/>
              <w:rPr>
                <w:rFonts w:hint="eastAsia"/>
                <w:color w:val="70AD47" w:themeColor="accent6"/>
                <w:szCs w:val="20"/>
                <w:lang w:val="en-US" w:eastAsia="zh-CN"/>
                <w14:textFill>
                  <w14:solidFill>
                    <w14:schemeClr w14:val="accent6"/>
                  </w14:solidFill>
                </w14:textFill>
              </w:rPr>
            </w:pPr>
            <w:r>
              <w:rPr>
                <w:rFonts w:hint="eastAsia"/>
                <w:color w:val="70AD47" w:themeColor="accent6"/>
                <w:szCs w:val="20"/>
                <w:lang w:val="en-US" w:eastAsia="zh-CN"/>
                <w14:textFill>
                  <w14:solidFill>
                    <w14:schemeClr w14:val="accent6"/>
                  </w14:solidFill>
                </w14:textFill>
              </w:rPr>
              <w:t>大连海天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Borders>
              <w:bottom w:val="single" w:color="auto" w:sz="4" w:space="0"/>
            </w:tcBorders>
          </w:tcPr>
          <w:p>
            <w:pPr>
              <w:pStyle w:val="193"/>
              <w:keepNext w:val="0"/>
              <w:keepLines w:val="0"/>
              <w:numPr>
                <w:ilvl w:val="0"/>
                <w:numId w:val="11"/>
              </w:numPr>
              <w:suppressLineNumbers w:val="0"/>
              <w:spacing w:before="0" w:beforeAutospacing="0" w:after="0" w:afterAutospacing="0"/>
              <w:ind w:right="0" w:firstLineChars="0"/>
              <w:jc w:val="center"/>
              <w:rPr>
                <w:rFonts w:hint="default"/>
                <w:color w:val="2F5597" w:themeColor="accent5" w:themeShade="BF"/>
              </w:rPr>
            </w:pPr>
          </w:p>
        </w:tc>
        <w:tc>
          <w:tcPr>
            <w:tcW w:w="1453" w:type="dxa"/>
            <w:tcBorders>
              <w:bottom w:val="single" w:color="auto" w:sz="4" w:space="0"/>
            </w:tcBorders>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eastAsia"/>
                <w:color w:val="2F5597" w:themeColor="accent5" w:themeShade="BF"/>
                <w:szCs w:val="20"/>
              </w:rPr>
              <w:t>空调控制器</w:t>
            </w:r>
          </w:p>
        </w:tc>
        <w:tc>
          <w:tcPr>
            <w:tcW w:w="1725" w:type="dxa"/>
            <w:tcBorders>
              <w:bottom w:val="single" w:color="auto" w:sz="4" w:space="0"/>
            </w:tcBorders>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lang w:val="en-US" w:eastAsia="zh-CN"/>
              </w:rPr>
            </w:pPr>
            <w:r>
              <w:rPr>
                <w:rFonts w:hint="eastAsia"/>
                <w:color w:val="2F5597" w:themeColor="accent5" w:themeShade="BF"/>
                <w:szCs w:val="20"/>
              </w:rPr>
              <w:t>KPC</w:t>
            </w:r>
            <w:r>
              <w:rPr>
                <w:rFonts w:hint="default"/>
                <w:color w:val="2F5597" w:themeColor="accent5" w:themeShade="BF"/>
                <w:szCs w:val="20"/>
              </w:rPr>
              <w:t>18-02</w:t>
            </w:r>
          </w:p>
        </w:tc>
        <w:tc>
          <w:tcPr>
            <w:tcW w:w="1667" w:type="dxa"/>
            <w:tcBorders>
              <w:bottom w:val="single" w:color="auto" w:sz="4" w:space="0"/>
            </w:tcBorders>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lang w:val="en-US" w:eastAsia="zh-CN"/>
              </w:rPr>
            </w:pPr>
            <w:r>
              <w:rPr>
                <w:rFonts w:hint="default"/>
                <w:color w:val="2F5597" w:themeColor="accent5" w:themeShade="BF"/>
                <w:szCs w:val="20"/>
              </w:rPr>
              <w:t>2.02.25.0339</w:t>
            </w:r>
          </w:p>
        </w:tc>
        <w:tc>
          <w:tcPr>
            <w:tcW w:w="1508" w:type="dxa"/>
            <w:tcBorders>
              <w:bottom w:val="single" w:color="auto" w:sz="4" w:space="0"/>
            </w:tcBorders>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lang w:val="en-US" w:eastAsia="zh-CN"/>
              </w:rPr>
            </w:pPr>
            <w:r>
              <w:rPr>
                <w:rFonts w:hint="eastAsia"/>
                <w:color w:val="2F5597" w:themeColor="accent5" w:themeShade="BF"/>
                <w:szCs w:val="20"/>
              </w:rPr>
              <w:t>P97K0104</w:t>
            </w:r>
          </w:p>
        </w:tc>
        <w:tc>
          <w:tcPr>
            <w:tcW w:w="1672" w:type="dxa"/>
            <w:tcBorders>
              <w:bottom w:val="single" w:color="auto" w:sz="4" w:space="0"/>
            </w:tcBorders>
          </w:tcPr>
          <w:p>
            <w:pPr>
              <w:keepNext w:val="0"/>
              <w:keepLines w:val="0"/>
              <w:suppressLineNumbers w:val="0"/>
              <w:spacing w:before="0" w:beforeAutospacing="0" w:after="0" w:afterAutospacing="0"/>
              <w:ind w:left="0" w:right="0" w:firstLine="0" w:firstLineChars="0"/>
              <w:jc w:val="center"/>
              <w:rPr>
                <w:rFonts w:hint="eastAsia"/>
                <w:color w:val="70AD47" w:themeColor="accent6"/>
                <w:szCs w:val="20"/>
                <w:lang w:val="en-US" w:eastAsia="zh-CN"/>
                <w14:textFill>
                  <w14:solidFill>
                    <w14:schemeClr w14:val="accent6"/>
                  </w14:solidFill>
                </w14:textFill>
              </w:rPr>
            </w:pPr>
            <w:r>
              <w:rPr>
                <w:rFonts w:hint="eastAsia"/>
                <w:color w:val="70AD47" w:themeColor="accent6"/>
                <w:szCs w:val="20"/>
                <w:lang w:val="en-US" w:eastAsia="zh-CN"/>
                <w14:textFill>
                  <w14:solidFill>
                    <w14:schemeClr w14:val="accent6"/>
                  </w14:solidFill>
                </w14:textFill>
              </w:rPr>
              <w:t>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shd w:val="clear" w:color="auto" w:fill="00FFFF"/>
          </w:tcPr>
          <w:p>
            <w:pPr>
              <w:pStyle w:val="193"/>
              <w:keepNext w:val="0"/>
              <w:keepLines w:val="0"/>
              <w:numPr>
                <w:ilvl w:val="0"/>
                <w:numId w:val="11"/>
              </w:numPr>
              <w:suppressLineNumbers w:val="0"/>
              <w:spacing w:before="0" w:beforeAutospacing="0" w:after="0" w:afterAutospacing="0"/>
              <w:ind w:right="0" w:firstLineChars="0"/>
              <w:jc w:val="center"/>
              <w:rPr>
                <w:rFonts w:hint="default"/>
              </w:rPr>
            </w:pPr>
          </w:p>
        </w:tc>
        <w:tc>
          <w:tcPr>
            <w:tcW w:w="1453"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空调控制器</w:t>
            </w:r>
          </w:p>
        </w:tc>
        <w:tc>
          <w:tcPr>
            <w:tcW w:w="1725"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KPC</w:t>
            </w:r>
            <w:r>
              <w:rPr>
                <w:rFonts w:hint="default"/>
                <w:szCs w:val="20"/>
              </w:rPr>
              <w:t>18-02/A</w:t>
            </w:r>
          </w:p>
        </w:tc>
        <w:tc>
          <w:tcPr>
            <w:tcW w:w="1667"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2.02.25.0345</w:t>
            </w:r>
          </w:p>
        </w:tc>
        <w:tc>
          <w:tcPr>
            <w:tcW w:w="1508"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P97K01</w:t>
            </w:r>
            <w:r>
              <w:rPr>
                <w:rFonts w:hint="default"/>
                <w:szCs w:val="20"/>
              </w:rPr>
              <w:t>10</w:t>
            </w:r>
          </w:p>
        </w:tc>
        <w:tc>
          <w:tcPr>
            <w:tcW w:w="1672" w:type="dxa"/>
            <w:shd w:val="clear" w:color="auto" w:fill="auto"/>
            <w:vAlign w:val="top"/>
          </w:tcPr>
          <w:p>
            <w:pPr>
              <w:keepNext w:val="0"/>
              <w:keepLines w:val="0"/>
              <w:suppressLineNumbers w:val="0"/>
              <w:spacing w:before="0" w:beforeAutospacing="0" w:after="0" w:afterAutospacing="0"/>
              <w:ind w:left="0" w:right="0" w:firstLine="0" w:firstLineChars="0"/>
              <w:jc w:val="center"/>
              <w:rPr>
                <w:rFonts w:hint="eastAsia"/>
                <w:color w:val="70AD47" w:themeColor="accent6"/>
                <w:szCs w:val="20"/>
                <w:lang w:val="en-US" w:eastAsia="zh-CN"/>
                <w14:textFill>
                  <w14:solidFill>
                    <w14:schemeClr w14:val="accent6"/>
                  </w14:solidFill>
                </w14:textFill>
              </w:rPr>
            </w:pPr>
            <w:r>
              <w:rPr>
                <w:rFonts w:hint="eastAsia"/>
                <w:color w:val="70AD47" w:themeColor="accent6"/>
                <w:szCs w:val="20"/>
                <w:lang w:val="en-US" w:eastAsia="zh-CN"/>
                <w14:textFill>
                  <w14:solidFill>
                    <w14:schemeClr w14:val="accent6"/>
                  </w14:solidFill>
                </w14:textFill>
              </w:rPr>
              <w:t>新能安华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shd w:val="clear" w:color="auto" w:fill="auto"/>
          </w:tcPr>
          <w:p>
            <w:pPr>
              <w:pStyle w:val="193"/>
              <w:keepNext w:val="0"/>
              <w:keepLines w:val="0"/>
              <w:numPr>
                <w:ilvl w:val="0"/>
                <w:numId w:val="11"/>
              </w:numPr>
              <w:suppressLineNumbers w:val="0"/>
              <w:spacing w:before="0" w:beforeAutospacing="0" w:after="0" w:afterAutospacing="0"/>
              <w:ind w:right="0" w:firstLineChars="0"/>
              <w:jc w:val="center"/>
              <w:rPr>
                <w:rFonts w:hint="default"/>
              </w:rPr>
            </w:pPr>
          </w:p>
        </w:tc>
        <w:tc>
          <w:tcPr>
            <w:tcW w:w="1453" w:type="dxa"/>
            <w:shd w:val="clear" w:color="auto" w:fill="auto"/>
          </w:tcPr>
          <w:p>
            <w:pPr>
              <w:keepNext w:val="0"/>
              <w:keepLines w:val="0"/>
              <w:suppressLineNumbers w:val="0"/>
              <w:spacing w:before="0" w:beforeAutospacing="0" w:after="0" w:afterAutospacing="0"/>
              <w:ind w:left="0" w:right="0" w:firstLine="0" w:firstLineChars="0"/>
              <w:jc w:val="center"/>
              <w:rPr>
                <w:rFonts w:hint="eastAsia" w:eastAsia="宋体"/>
                <w:szCs w:val="20"/>
                <w:lang w:eastAsia="zh-CN"/>
              </w:rPr>
            </w:pPr>
            <w:r>
              <w:rPr>
                <w:rFonts w:hint="eastAsia"/>
                <w:color w:val="70AD47" w:themeColor="accent6"/>
                <w:szCs w:val="20"/>
                <w:lang w:eastAsia="zh-CN"/>
                <w14:textFill>
                  <w14:solidFill>
                    <w14:schemeClr w14:val="accent6"/>
                  </w14:solidFill>
                </w14:textFill>
              </w:rPr>
              <w:t>空调控制器</w:t>
            </w:r>
          </w:p>
        </w:tc>
        <w:tc>
          <w:tcPr>
            <w:tcW w:w="1725" w:type="dxa"/>
            <w:shd w:val="clear" w:color="auto" w:fill="auto"/>
          </w:tcPr>
          <w:p>
            <w:pPr>
              <w:keepNext w:val="0"/>
              <w:keepLines w:val="0"/>
              <w:suppressLineNumbers w:val="0"/>
              <w:spacing w:before="0" w:beforeAutospacing="0" w:after="0" w:afterAutospacing="0"/>
              <w:ind w:left="0" w:right="0" w:firstLine="0" w:firstLineChars="0"/>
              <w:jc w:val="center"/>
              <w:rPr>
                <w:rFonts w:hint="eastAsia"/>
                <w:szCs w:val="20"/>
              </w:rPr>
            </w:pPr>
            <w:r>
              <w:rPr>
                <w:rFonts w:hint="eastAsia"/>
                <w:color w:val="70AD47" w:themeColor="accent6"/>
                <w:szCs w:val="20"/>
                <w:lang w:val="en-US" w:eastAsia="zh-CN"/>
                <w14:textFill>
                  <w14:solidFill>
                    <w14:schemeClr w14:val="accent6"/>
                  </w14:solidFill>
                </w14:textFill>
              </w:rPr>
              <w:t>KPC18-02/B</w:t>
            </w:r>
          </w:p>
        </w:tc>
        <w:tc>
          <w:tcPr>
            <w:tcW w:w="1667" w:type="dxa"/>
            <w:shd w:val="clear" w:color="auto" w:fill="auto"/>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color w:val="70AD47" w:themeColor="accent6"/>
                <w:szCs w:val="20"/>
                <w:lang w:val="en-US" w:eastAsia="zh-CN"/>
                <w14:textFill>
                  <w14:solidFill>
                    <w14:schemeClr w14:val="accent6"/>
                  </w14:solidFill>
                </w14:textFill>
              </w:rPr>
              <w:t>2.02.25.0441</w:t>
            </w:r>
          </w:p>
        </w:tc>
        <w:tc>
          <w:tcPr>
            <w:tcW w:w="1508" w:type="dxa"/>
            <w:shd w:val="clear" w:color="auto" w:fill="auto"/>
          </w:tcPr>
          <w:p>
            <w:pPr>
              <w:keepNext w:val="0"/>
              <w:keepLines w:val="0"/>
              <w:suppressLineNumbers w:val="0"/>
              <w:spacing w:before="0" w:beforeAutospacing="0" w:after="0" w:afterAutospacing="0"/>
              <w:ind w:left="0" w:right="0" w:firstLine="0" w:firstLineChars="0"/>
              <w:jc w:val="center"/>
              <w:rPr>
                <w:rFonts w:hint="eastAsia"/>
                <w:szCs w:val="20"/>
              </w:rPr>
            </w:pPr>
            <w:r>
              <w:rPr>
                <w:rFonts w:hint="eastAsia"/>
                <w:color w:val="70AD47" w:themeColor="accent6"/>
                <w:szCs w:val="20"/>
                <w:lang w:val="en-US" w:eastAsia="zh-CN"/>
                <w14:textFill>
                  <w14:solidFill>
                    <w14:schemeClr w14:val="accent6"/>
                  </w14:solidFill>
                </w14:textFill>
              </w:rPr>
              <w:t>P97K0135</w:t>
            </w:r>
          </w:p>
        </w:tc>
        <w:tc>
          <w:tcPr>
            <w:tcW w:w="1672" w:type="dxa"/>
            <w:shd w:val="clear" w:color="auto" w:fill="auto"/>
          </w:tcPr>
          <w:p>
            <w:pPr>
              <w:keepNext w:val="0"/>
              <w:keepLines w:val="0"/>
              <w:suppressLineNumbers w:val="0"/>
              <w:spacing w:before="0" w:beforeAutospacing="0" w:after="0" w:afterAutospacing="0"/>
              <w:ind w:left="0" w:right="0" w:firstLine="0" w:firstLineChars="0"/>
              <w:jc w:val="center"/>
              <w:rPr>
                <w:rFonts w:hint="eastAsia"/>
                <w:color w:val="70AD47" w:themeColor="accent6"/>
                <w:szCs w:val="20"/>
                <w:lang w:val="en-US" w:eastAsia="zh-CN"/>
                <w14:textFill>
                  <w14:solidFill>
                    <w14:schemeClr w14:val="accent6"/>
                  </w14:solidFill>
                </w14:textFill>
              </w:rPr>
            </w:pPr>
            <w:r>
              <w:rPr>
                <w:rFonts w:hint="eastAsia"/>
                <w:color w:val="70AD47" w:themeColor="accent6"/>
                <w:szCs w:val="20"/>
                <w:lang w:val="en-US" w:eastAsia="zh-CN"/>
                <w14:textFill>
                  <w14:solidFill>
                    <w14:schemeClr w14:val="accent6"/>
                  </w14:solidFill>
                </w14:textFill>
              </w:rPr>
              <w:t>新能安华</w:t>
            </w:r>
          </w:p>
        </w:tc>
      </w:tr>
    </w:tbl>
    <w:p>
      <w:pPr>
        <w:pStyle w:val="2"/>
        <w:spacing w:before="240" w:after="120"/>
      </w:pPr>
      <w:bookmarkStart w:id="25" w:name="_Toc26817"/>
      <w:r>
        <w:rPr>
          <w:rFonts w:hint="eastAsia"/>
        </w:rPr>
        <w:t>供货范围</w:t>
      </w:r>
      <w:bookmarkEnd w:id="25"/>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2</w:t>
      </w:r>
      <w:r>
        <w:rPr>
          <w:color w:val="FF0000"/>
        </w:rPr>
        <w:fldChar w:fldCharType="end"/>
      </w:r>
      <w:r>
        <w:rPr>
          <w:rFonts w:hint="eastAsia"/>
          <w:color w:val="FF0000"/>
        </w:rPr>
        <w:t xml:space="preserve"> KPC18-02(2.02.25.0225)型控制器供货范围</w:t>
      </w:r>
    </w:p>
    <w:tbl>
      <w:tblPr>
        <w:tblStyle w:val="61"/>
        <w:tblW w:w="850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7"/>
        <w:gridCol w:w="3402"/>
        <w:gridCol w:w="851"/>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序号</w:t>
            </w:r>
          </w:p>
        </w:tc>
        <w:tc>
          <w:tcPr>
            <w:tcW w:w="14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名称</w:t>
            </w: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规格型号</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芯数</w:t>
            </w:r>
          </w:p>
        </w:tc>
        <w:tc>
          <w:tcPr>
            <w:tcW w:w="850"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数量</w:t>
            </w:r>
          </w:p>
        </w:tc>
        <w:tc>
          <w:tcPr>
            <w:tcW w:w="1276"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4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空调控制器</w:t>
            </w: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KPC18-02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不含铭牌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09" w:type="dxa"/>
            <w:vMerge w:val="restart"/>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1417" w:type="dxa"/>
            <w:vMerge w:val="restart"/>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配套连接器插头</w:t>
            </w: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B2CF 3.50/14/180F SN BK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14芯</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2</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B2CF 3.50/4/180F SN BK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4芯</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B2CF 3.50/6/180F SN BK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6芯</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B2CF 3.50/30/180F SN BK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30芯</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B2CF 3.50/18/180F SN BK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18芯</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B2CF 3.50/24/180F SN BK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24芯</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BLZP 5.08/8/180F SN BK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8芯</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BLZP 5.08/12/180F SN BK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12芯</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1276"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魏德米勒</w:t>
            </w:r>
          </w:p>
        </w:tc>
      </w:tr>
    </w:tbl>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3</w:t>
      </w:r>
      <w:r>
        <w:rPr>
          <w:color w:val="FF0000"/>
        </w:rPr>
        <w:fldChar w:fldCharType="end"/>
      </w:r>
      <w:r>
        <w:rPr>
          <w:rFonts w:hint="eastAsia"/>
          <w:color w:val="FF0000"/>
        </w:rPr>
        <w:t xml:space="preserve"> KPC18-02(2.02.25.0333)型控制器供货范围</w:t>
      </w:r>
    </w:p>
    <w:tbl>
      <w:tblPr>
        <w:tblStyle w:val="61"/>
        <w:tblW w:w="850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4"/>
        <w:gridCol w:w="2552"/>
        <w:gridCol w:w="155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序号</w:t>
            </w:r>
          </w:p>
        </w:tc>
        <w:tc>
          <w:tcPr>
            <w:tcW w:w="1984"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名称</w:t>
            </w:r>
          </w:p>
        </w:tc>
        <w:tc>
          <w:tcPr>
            <w:tcW w:w="255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规格型号</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数量</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984"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空调控制器</w:t>
            </w:r>
          </w:p>
        </w:tc>
        <w:tc>
          <w:tcPr>
            <w:tcW w:w="2552"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0000FF"/>
                <w:szCs w:val="20"/>
              </w:rPr>
              <w:t>KPC18-02</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不含铭牌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09" w:type="dxa"/>
            <w:vMerge w:val="restart"/>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1984" w:type="dxa"/>
            <w:vMerge w:val="restart"/>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配套连接器插头</w:t>
            </w:r>
          </w:p>
        </w:tc>
        <w:tc>
          <w:tcPr>
            <w:tcW w:w="2552"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PL1.5B-04-3.50-05F</w:t>
            </w:r>
            <w:r>
              <w:rPr>
                <w:rFonts w:hint="default"/>
                <w:color w:val="0000FF"/>
                <w:szCs w:val="20"/>
              </w:rPr>
              <w:t xml:space="preserve"> </w:t>
            </w:r>
          </w:p>
        </w:tc>
        <w:tc>
          <w:tcPr>
            <w:tcW w:w="1559"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2552"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PL1.5B-06-3.50-05F</w:t>
            </w:r>
            <w:r>
              <w:rPr>
                <w:rFonts w:hint="default"/>
                <w:color w:val="0000FF"/>
                <w:szCs w:val="20"/>
              </w:rPr>
              <w:t xml:space="preserve"> </w:t>
            </w:r>
          </w:p>
        </w:tc>
        <w:tc>
          <w:tcPr>
            <w:tcW w:w="1559"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2552"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PL1.5B-14-3.50-05F</w:t>
            </w:r>
          </w:p>
        </w:tc>
        <w:tc>
          <w:tcPr>
            <w:tcW w:w="1559"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2</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2552"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PL1.5B-12-3.50-05F</w:t>
            </w:r>
          </w:p>
        </w:tc>
        <w:tc>
          <w:tcPr>
            <w:tcW w:w="1559"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2552"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PL1.5B-16-3.50-05F</w:t>
            </w:r>
          </w:p>
        </w:tc>
        <w:tc>
          <w:tcPr>
            <w:tcW w:w="1559"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2</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2552"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PL1.5B-18-3.50-05F</w:t>
            </w:r>
          </w:p>
        </w:tc>
        <w:tc>
          <w:tcPr>
            <w:tcW w:w="1559"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2</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2552"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PL1.5B-20-3.50-05F</w:t>
            </w:r>
            <w:r>
              <w:rPr>
                <w:rFonts w:hint="default"/>
                <w:color w:val="0000FF"/>
                <w:szCs w:val="20"/>
              </w:rPr>
              <w:t xml:space="preserve"> </w:t>
            </w:r>
          </w:p>
        </w:tc>
        <w:tc>
          <w:tcPr>
            <w:tcW w:w="1559" w:type="dxa"/>
            <w:vAlign w:val="center"/>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0000FF"/>
                <w:szCs w:val="20"/>
              </w:rPr>
            </w:pPr>
            <w:r>
              <w:rPr>
                <w:rFonts w:hint="eastAsia"/>
                <w:color w:val="0000FF"/>
                <w:szCs w:val="20"/>
              </w:rPr>
              <w:t>富安林</w:t>
            </w:r>
          </w:p>
        </w:tc>
      </w:tr>
    </w:tbl>
    <w:p>
      <w:pPr>
        <w:pStyle w:val="16"/>
        <w:ind w:left="0" w:leftChars="0" w:firstLine="0" w:firstLineChars="0"/>
        <w:jc w:val="both"/>
        <w:rPr>
          <w:color w:val="FF0000"/>
        </w:rPr>
      </w:pPr>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4</w:t>
      </w:r>
      <w:r>
        <w:rPr>
          <w:color w:val="FF0000"/>
        </w:rPr>
        <w:fldChar w:fldCharType="end"/>
      </w:r>
      <w:r>
        <w:rPr>
          <w:rFonts w:hint="eastAsia"/>
          <w:color w:val="FF0000"/>
        </w:rPr>
        <w:t xml:space="preserve"> KPC18-02(2.02.25.0334)型控制器供货范围</w:t>
      </w:r>
    </w:p>
    <w:tbl>
      <w:tblPr>
        <w:tblStyle w:val="61"/>
        <w:tblW w:w="850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4"/>
        <w:gridCol w:w="3260"/>
        <w:gridCol w:w="85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序号</w:t>
            </w:r>
          </w:p>
        </w:tc>
        <w:tc>
          <w:tcPr>
            <w:tcW w:w="1984"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名称</w:t>
            </w: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规格型号</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数量</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984"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空调控制器</w:t>
            </w: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0000FF"/>
                <w:szCs w:val="20"/>
              </w:rPr>
              <w:t>KPC18-02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不含铭牌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09" w:type="dxa"/>
            <w:vMerge w:val="restart"/>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1984" w:type="dxa"/>
            <w:vMerge w:val="restart"/>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default"/>
                <w:color w:val="FF0000"/>
                <w:szCs w:val="20"/>
              </w:rPr>
              <w:t>配套连接器插头</w:t>
            </w: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DFMC 1,5/ 7-STF-3,5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菲尼克斯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DFMC 1,5/ 3-STF-3,5-LR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菲尼克斯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DFMC1.5/15-STF-3,5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菲尼克斯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DFMC1.5/9-STF-3,5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菲尼克斯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DFMC1.5/12-STF-3,5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菲尼克斯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FKC 2,5/12-STF-5,08-BC BK</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菲尼克斯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1984" w:type="dxa"/>
            <w:vMerge w:val="continue"/>
          </w:tcPr>
          <w:p>
            <w:pPr>
              <w:keepNext w:val="0"/>
              <w:keepLines w:val="0"/>
              <w:suppressLineNumbers w:val="0"/>
              <w:spacing w:before="0" w:beforeAutospacing="0" w:after="0" w:afterAutospacing="0"/>
              <w:ind w:left="0" w:right="0" w:firstLine="0" w:firstLineChars="0"/>
              <w:jc w:val="center"/>
              <w:rPr>
                <w:rFonts w:hint="default"/>
                <w:color w:val="FF0000"/>
                <w:szCs w:val="20"/>
              </w:rPr>
            </w:pPr>
          </w:p>
        </w:tc>
        <w:tc>
          <w:tcPr>
            <w:tcW w:w="3260"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CP-MSTB</w:t>
            </w:r>
            <w:r>
              <w:rPr>
                <w:rFonts w:hint="eastAsia"/>
                <w:color w:val="FF0000"/>
                <w:szCs w:val="20"/>
              </w:rPr>
              <w:t>防插反编码条</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1701" w:type="dxa"/>
          </w:tcPr>
          <w:p>
            <w:pPr>
              <w:keepNext w:val="0"/>
              <w:keepLines w:val="0"/>
              <w:suppressLineNumbers w:val="0"/>
              <w:spacing w:before="0" w:beforeAutospacing="0" w:after="0" w:afterAutospacing="0"/>
              <w:ind w:left="0" w:right="0" w:firstLine="0" w:firstLineChars="0"/>
              <w:jc w:val="center"/>
              <w:rPr>
                <w:rFonts w:hint="default"/>
                <w:color w:val="FF0000"/>
                <w:szCs w:val="20"/>
                <w:highlight w:val="yellow"/>
              </w:rPr>
            </w:pPr>
            <w:r>
              <w:rPr>
                <w:rFonts w:hint="default"/>
                <w:color w:val="FF0000"/>
                <w:szCs w:val="20"/>
              </w:rPr>
              <w:t>菲尼克斯</w:t>
            </w:r>
          </w:p>
        </w:tc>
      </w:tr>
    </w:tbl>
    <w:p>
      <w:pPr>
        <w:pStyle w:val="16"/>
        <w:ind w:firstLine="400"/>
        <w:jc w:val="center"/>
        <w:rPr>
          <w:color w:val="2F5597" w:themeColor="accent5" w:themeShade="BF"/>
        </w:rPr>
      </w:pPr>
      <w:r>
        <w:rPr>
          <w:rFonts w:hint="eastAsia"/>
          <w:color w:val="2F5597" w:themeColor="accent5" w:themeShade="BF"/>
        </w:rPr>
        <w:t xml:space="preserve">表 </w:t>
      </w:r>
      <w:r>
        <w:rPr>
          <w:color w:val="2F5597" w:themeColor="accent5" w:themeShade="BF"/>
        </w:rPr>
        <w:fldChar w:fldCharType="begin"/>
      </w:r>
      <w:r>
        <w:rPr>
          <w:color w:val="2F5597" w:themeColor="accent5" w:themeShade="BF"/>
        </w:rPr>
        <w:instrText xml:space="preserve"> </w:instrText>
      </w:r>
      <w:r>
        <w:rPr>
          <w:rFonts w:hint="eastAsia"/>
          <w:color w:val="2F5597" w:themeColor="accent5" w:themeShade="BF"/>
        </w:rPr>
        <w:instrText xml:space="preserve">SEQ 表 \* ARABIC</w:instrText>
      </w:r>
      <w:r>
        <w:rPr>
          <w:color w:val="2F5597" w:themeColor="accent5" w:themeShade="BF"/>
        </w:rPr>
        <w:instrText xml:space="preserve"> </w:instrText>
      </w:r>
      <w:r>
        <w:rPr>
          <w:color w:val="2F5597" w:themeColor="accent5" w:themeShade="BF"/>
        </w:rPr>
        <w:fldChar w:fldCharType="separate"/>
      </w:r>
      <w:r>
        <w:rPr>
          <w:rFonts w:hint="eastAsia"/>
          <w:color w:val="2F5597" w:themeColor="accent5" w:themeShade="BF"/>
        </w:rPr>
        <w:t>5</w:t>
      </w:r>
      <w:r>
        <w:rPr>
          <w:color w:val="2F5597" w:themeColor="accent5" w:themeShade="BF"/>
        </w:rPr>
        <w:fldChar w:fldCharType="end"/>
      </w:r>
      <w:r>
        <w:rPr>
          <w:rFonts w:hint="eastAsia"/>
          <w:color w:val="2F5597" w:themeColor="accent5" w:themeShade="BF"/>
        </w:rPr>
        <w:t xml:space="preserve"> KPC18-02(</w:t>
      </w:r>
      <w:r>
        <w:rPr>
          <w:color w:val="2F5597" w:themeColor="accent5" w:themeShade="BF"/>
        </w:rPr>
        <w:t>2.02.25.0339</w:t>
      </w:r>
      <w:r>
        <w:rPr>
          <w:rFonts w:hint="eastAsia"/>
          <w:color w:val="2F5597" w:themeColor="accent5" w:themeShade="BF"/>
        </w:rPr>
        <w:t>)型控制器供货范围</w:t>
      </w:r>
    </w:p>
    <w:tbl>
      <w:tblPr>
        <w:tblStyle w:val="61"/>
        <w:tblW w:w="878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7"/>
        <w:gridCol w:w="3402"/>
        <w:gridCol w:w="851"/>
        <w:gridCol w:w="85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序号</w:t>
            </w:r>
          </w:p>
        </w:tc>
        <w:tc>
          <w:tcPr>
            <w:tcW w:w="1417"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名称</w:t>
            </w: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规格型号</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数量</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芯数</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eastAsia"/>
                <w:color w:val="2F5597" w:themeColor="accent5" w:themeShade="BF"/>
                <w:szCs w:val="20"/>
              </w:rPr>
              <w:t>1.</w:t>
            </w:r>
          </w:p>
        </w:tc>
        <w:tc>
          <w:tcPr>
            <w:tcW w:w="1417"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空调控制器</w:t>
            </w:r>
          </w:p>
        </w:tc>
        <w:tc>
          <w:tcPr>
            <w:tcW w:w="3402" w:type="dxa"/>
          </w:tcPr>
          <w:p>
            <w:pPr>
              <w:keepNext w:val="0"/>
              <w:keepLines w:val="0"/>
              <w:suppressLineNumbers w:val="0"/>
              <w:tabs>
                <w:tab w:val="center" w:pos="1652"/>
                <w:tab w:val="right" w:pos="3186"/>
              </w:tabs>
              <w:spacing w:before="0" w:beforeAutospacing="0" w:after="0" w:afterAutospacing="0"/>
              <w:ind w:left="0" w:right="0" w:firstLine="0" w:firstLineChars="0"/>
              <w:jc w:val="left"/>
              <w:rPr>
                <w:rFonts w:hint="default" w:eastAsia="宋体"/>
                <w:color w:val="2F5597" w:themeColor="accent5" w:themeShade="BF"/>
                <w:szCs w:val="20"/>
                <w:lang w:val="en-US" w:eastAsia="zh-CN"/>
              </w:rPr>
            </w:pPr>
            <w:r>
              <w:rPr>
                <w:rFonts w:hint="eastAsia"/>
                <w:color w:val="2F5597" w:themeColor="accent5" w:themeShade="BF"/>
                <w:szCs w:val="20"/>
                <w:lang w:eastAsia="zh-CN"/>
              </w:rPr>
              <w:tab/>
            </w:r>
            <w:r>
              <w:rPr>
                <w:rFonts w:hint="eastAsia"/>
                <w:color w:val="2F5597" w:themeColor="accent5" w:themeShade="BF"/>
                <w:szCs w:val="20"/>
              </w:rPr>
              <w:t>KPC18-02</w:t>
            </w:r>
            <w:r>
              <w:rPr>
                <w:rFonts w:hint="eastAsia"/>
                <w:color w:val="2F5597" w:themeColor="accent5" w:themeShade="BF"/>
                <w:szCs w:val="20"/>
                <w:lang w:val="en-US" w:eastAsia="zh-CN"/>
              </w:rPr>
              <w:t xml:space="preserve"> </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eastAsia"/>
                <w:color w:val="2F5597" w:themeColor="accent5" w:themeShade="BF"/>
                <w:szCs w:val="20"/>
              </w:rPr>
              <w:t>1</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eastAsia"/>
                <w:color w:val="2F5597" w:themeColor="accent5" w:themeShade="BF"/>
                <w:szCs w:val="20"/>
              </w:rPr>
              <w:t>/</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eastAsia"/>
                <w:color w:val="2F5597" w:themeColor="accent5" w:themeShade="BF"/>
                <w:szCs w:val="20"/>
              </w:rPr>
              <w:t>不含铭牌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09" w:type="dxa"/>
            <w:vMerge w:val="restart"/>
            <w:vAlign w:val="center"/>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eastAsia"/>
                <w:color w:val="2F5597" w:themeColor="accent5" w:themeShade="BF"/>
                <w:szCs w:val="20"/>
              </w:rPr>
              <w:t>2.</w:t>
            </w:r>
          </w:p>
        </w:tc>
        <w:tc>
          <w:tcPr>
            <w:tcW w:w="1417" w:type="dxa"/>
            <w:vMerge w:val="restart"/>
            <w:vAlign w:val="center"/>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配套连接器插头</w:t>
            </w:r>
          </w:p>
        </w:tc>
        <w:tc>
          <w:tcPr>
            <w:tcW w:w="3402" w:type="dxa"/>
            <w:vAlign w:val="center"/>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C2P 3.50/06/180F SN BK BX</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1</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6</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C2P 3.50/12/180F SN BK BX</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1</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12</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C2P 3.50/20/180F SN BK BX</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1</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20</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C2P 3.50/18/180F SN BK BX</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2</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18</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C2P 3.50/14/180F SN BK BX</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2</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14</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C2P 3.50/16/180F SN BK BX</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2</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16</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C2P 3.50/04/180F SN BK BX</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1</w:t>
            </w:r>
          </w:p>
        </w:tc>
        <w:tc>
          <w:tcPr>
            <w:tcW w:w="850"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4</w:t>
            </w:r>
          </w:p>
        </w:tc>
        <w:tc>
          <w:tcPr>
            <w:tcW w:w="1559" w:type="dxa"/>
          </w:tcPr>
          <w:p>
            <w:pPr>
              <w:keepNext w:val="0"/>
              <w:keepLines w:val="0"/>
              <w:suppressLineNumbers w:val="0"/>
              <w:spacing w:before="0" w:beforeAutospacing="0" w:after="0" w:afterAutospacing="0"/>
              <w:ind w:left="0" w:right="0" w:firstLine="0" w:firstLineChars="0"/>
              <w:jc w:val="center"/>
              <w:rPr>
                <w:rFonts w:hint="default"/>
                <w:color w:val="2F5597" w:themeColor="accent5" w:themeShade="BF"/>
                <w:szCs w:val="20"/>
              </w:rPr>
            </w:pPr>
            <w:r>
              <w:rPr>
                <w:rFonts w:hint="default"/>
                <w:color w:val="2F5597" w:themeColor="accent5" w:themeShade="BF"/>
                <w:szCs w:val="20"/>
              </w:rPr>
              <w:t>魏德米勒</w:t>
            </w:r>
          </w:p>
        </w:tc>
      </w:tr>
    </w:tbl>
    <w:p>
      <w:pPr>
        <w:pStyle w:val="16"/>
        <w:ind w:left="0" w:leftChars="0" w:firstLine="400"/>
        <w:jc w:val="center"/>
      </w:pPr>
      <w:r>
        <w:rPr>
          <w:highlight w:val="cyan"/>
        </w:rPr>
        <w:t xml:space="preserve">表 </w:t>
      </w:r>
      <w:r>
        <w:rPr>
          <w:highlight w:val="cyan"/>
        </w:rPr>
        <w:fldChar w:fldCharType="begin"/>
      </w:r>
      <w:r>
        <w:rPr>
          <w:highlight w:val="cyan"/>
        </w:rPr>
        <w:instrText xml:space="preserve"> SEQ 表 \* ARABIC </w:instrText>
      </w:r>
      <w:r>
        <w:rPr>
          <w:highlight w:val="cyan"/>
        </w:rPr>
        <w:fldChar w:fldCharType="separate"/>
      </w:r>
      <w:r>
        <w:rPr>
          <w:highlight w:val="cyan"/>
        </w:rPr>
        <w:t>6</w:t>
      </w:r>
      <w:r>
        <w:rPr>
          <w:highlight w:val="cyan"/>
        </w:rPr>
        <w:fldChar w:fldCharType="end"/>
      </w:r>
      <w:r>
        <w:rPr>
          <w:highlight w:val="cyan"/>
        </w:rPr>
        <w:t xml:space="preserve">  </w:t>
      </w:r>
      <w:r>
        <w:rPr>
          <w:rFonts w:hint="eastAsia"/>
          <w:highlight w:val="cyan"/>
        </w:rPr>
        <w:t>KPC18-02</w:t>
      </w:r>
      <w:r>
        <w:rPr>
          <w:highlight w:val="cyan"/>
        </w:rPr>
        <w:t>/A</w:t>
      </w:r>
      <w:r>
        <w:rPr>
          <w:rFonts w:hint="eastAsia"/>
          <w:highlight w:val="cyan"/>
        </w:rPr>
        <w:t>(2.02.25.03</w:t>
      </w:r>
      <w:r>
        <w:rPr>
          <w:highlight w:val="cyan"/>
        </w:rPr>
        <w:t>45</w:t>
      </w:r>
      <w:r>
        <w:rPr>
          <w:rFonts w:hint="eastAsia"/>
          <w:highlight w:val="cyan"/>
        </w:rPr>
        <w:t>)型控制器供货范围</w:t>
      </w:r>
    </w:p>
    <w:tbl>
      <w:tblPr>
        <w:tblStyle w:val="61"/>
        <w:tblW w:w="878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FFFF"/>
        <w:tblLayout w:type="fixed"/>
        <w:tblCellMar>
          <w:top w:w="0" w:type="dxa"/>
          <w:left w:w="108" w:type="dxa"/>
          <w:bottom w:w="0" w:type="dxa"/>
          <w:right w:w="108" w:type="dxa"/>
        </w:tblCellMar>
      </w:tblPr>
      <w:tblGrid>
        <w:gridCol w:w="709"/>
        <w:gridCol w:w="1417"/>
        <w:gridCol w:w="3402"/>
        <w:gridCol w:w="709"/>
        <w:gridCol w:w="99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FFFF"/>
          <w:tblLayout w:type="fixed"/>
          <w:tblCellMar>
            <w:top w:w="0" w:type="dxa"/>
            <w:left w:w="108" w:type="dxa"/>
            <w:bottom w:w="0" w:type="dxa"/>
            <w:right w:w="108" w:type="dxa"/>
          </w:tblCellMar>
        </w:tblPrEx>
        <w:tc>
          <w:tcPr>
            <w:tcW w:w="70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序号</w:t>
            </w:r>
          </w:p>
        </w:tc>
        <w:tc>
          <w:tcPr>
            <w:tcW w:w="1417"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名称</w:t>
            </w:r>
          </w:p>
        </w:tc>
        <w:tc>
          <w:tcPr>
            <w:tcW w:w="340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规格型号</w:t>
            </w:r>
          </w:p>
        </w:tc>
        <w:tc>
          <w:tcPr>
            <w:tcW w:w="70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数量</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芯数</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1417"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空调控制器</w:t>
            </w:r>
          </w:p>
        </w:tc>
        <w:tc>
          <w:tcPr>
            <w:tcW w:w="340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KPC18-02</w:t>
            </w:r>
            <w:r>
              <w:rPr>
                <w:rFonts w:hint="default"/>
                <w:szCs w:val="20"/>
              </w:rPr>
              <w:t>/A</w:t>
            </w:r>
          </w:p>
        </w:tc>
        <w:tc>
          <w:tcPr>
            <w:tcW w:w="70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不含铭牌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09" w:type="dxa"/>
            <w:vMerge w:val="restart"/>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p>
        </w:tc>
        <w:tc>
          <w:tcPr>
            <w:tcW w:w="1417" w:type="dxa"/>
            <w:vMerge w:val="restart"/>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配套连接器插头</w:t>
            </w:r>
          </w:p>
        </w:tc>
        <w:tc>
          <w:tcPr>
            <w:tcW w:w="3402"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PL1.5B-14-3.50-05F</w:t>
            </w:r>
          </w:p>
        </w:tc>
        <w:tc>
          <w:tcPr>
            <w:tcW w:w="709"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r>
              <w:rPr>
                <w:rFonts w:hint="default"/>
                <w:szCs w:val="20"/>
              </w:rPr>
              <w:t>4</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eastAsia"/>
                <w:szCs w:val="20"/>
              </w:rPr>
            </w:pPr>
            <w:r>
              <w:rPr>
                <w:rFonts w:hint="eastAsia"/>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PL1.5B-12-3.50-05F</w:t>
            </w:r>
          </w:p>
        </w:tc>
        <w:tc>
          <w:tcPr>
            <w:tcW w:w="709"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r>
              <w:rPr>
                <w:rFonts w:hint="default"/>
                <w:szCs w:val="20"/>
              </w:rPr>
              <w:t>2</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PL1.5B-16-3.50-05F</w:t>
            </w:r>
          </w:p>
        </w:tc>
        <w:tc>
          <w:tcPr>
            <w:tcW w:w="709"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r>
              <w:rPr>
                <w:rFonts w:hint="default"/>
                <w:szCs w:val="20"/>
              </w:rPr>
              <w:t>6</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9"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PL1.5B-18-3.50-05F</w:t>
            </w:r>
          </w:p>
        </w:tc>
        <w:tc>
          <w:tcPr>
            <w:tcW w:w="709"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r>
              <w:rPr>
                <w:rFonts w:hint="default"/>
                <w:szCs w:val="20"/>
              </w:rPr>
              <w:t>8</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PL1.5B-20-3.50-05F</w:t>
            </w:r>
          </w:p>
        </w:tc>
        <w:tc>
          <w:tcPr>
            <w:tcW w:w="709"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r>
              <w:rPr>
                <w:rFonts w:hint="default"/>
                <w:szCs w:val="20"/>
              </w:rPr>
              <w:t>0</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PL1.5B-04-3.50-05F</w:t>
            </w:r>
          </w:p>
        </w:tc>
        <w:tc>
          <w:tcPr>
            <w:tcW w:w="709"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4</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富安林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PL1.5B-06-3.50-05F</w:t>
            </w:r>
          </w:p>
        </w:tc>
        <w:tc>
          <w:tcPr>
            <w:tcW w:w="709"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992"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6</w:t>
            </w:r>
          </w:p>
        </w:tc>
        <w:tc>
          <w:tcPr>
            <w:tcW w:w="1559" w:type="dxa"/>
            <w:shd w:val="clear" w:color="auto" w:fill="00FFFF"/>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富安林</w:t>
            </w:r>
          </w:p>
        </w:tc>
      </w:tr>
    </w:tbl>
    <w:p>
      <w:pPr>
        <w:rPr>
          <w:color w:val="70AD47" w:themeColor="accent6"/>
          <w14:textFill>
            <w14:solidFill>
              <w14:schemeClr w14:val="accent6"/>
            </w14:solidFill>
          </w14:textFill>
        </w:rPr>
      </w:pPr>
      <w:r>
        <w:rPr>
          <w:color w:val="70AD47" w:themeColor="accent6"/>
          <w14:textFill>
            <w14:solidFill>
              <w14:schemeClr w14:val="accent6"/>
            </w14:solidFill>
          </w14:textFill>
        </w:rPr>
        <w:br w:type="page"/>
      </w:r>
    </w:p>
    <w:p/>
    <w:p>
      <w:pPr>
        <w:pStyle w:val="16"/>
        <w:bidi w:val="0"/>
        <w:jc w:val="center"/>
        <w:rPr>
          <w:rFonts w:hint="default"/>
          <w:color w:val="70AD47" w:themeColor="accent6"/>
          <w:lang w:val="en-US" w:eastAsia="zh-CN"/>
          <w14:textFill>
            <w14:solidFill>
              <w14:schemeClr w14:val="accent6"/>
            </w14:solidFill>
          </w14:textFill>
        </w:rPr>
      </w:pPr>
      <w:r>
        <w:rPr>
          <w:color w:val="70AD47" w:themeColor="accent6"/>
          <w14:textFill>
            <w14:solidFill>
              <w14:schemeClr w14:val="accent6"/>
            </w14:solidFill>
          </w14:textFill>
        </w:rPr>
        <w:t xml:space="preserve">表 </w:t>
      </w:r>
      <w:r>
        <w:rPr>
          <w:color w:val="70AD47" w:themeColor="accent6"/>
          <w14:textFill>
            <w14:solidFill>
              <w14:schemeClr w14:val="accent6"/>
            </w14:solidFill>
          </w14:textFill>
        </w:rPr>
        <w:fldChar w:fldCharType="begin"/>
      </w:r>
      <w:r>
        <w:rPr>
          <w:color w:val="70AD47" w:themeColor="accent6"/>
          <w14:textFill>
            <w14:solidFill>
              <w14:schemeClr w14:val="accent6"/>
            </w14:solidFill>
          </w14:textFill>
        </w:rPr>
        <w:instrText xml:space="preserve"> SEQ 表 \* ARABIC </w:instrText>
      </w:r>
      <w:r>
        <w:rPr>
          <w:color w:val="70AD47" w:themeColor="accent6"/>
          <w14:textFill>
            <w14:solidFill>
              <w14:schemeClr w14:val="accent6"/>
            </w14:solidFill>
          </w14:textFill>
        </w:rPr>
        <w:fldChar w:fldCharType="separate"/>
      </w:r>
      <w:r>
        <w:rPr>
          <w:color w:val="70AD47" w:themeColor="accent6"/>
          <w14:textFill>
            <w14:solidFill>
              <w14:schemeClr w14:val="accent6"/>
            </w14:solidFill>
          </w14:textFill>
        </w:rPr>
        <w:t>7</w:t>
      </w:r>
      <w:r>
        <w:rPr>
          <w:color w:val="70AD47" w:themeColor="accent6"/>
          <w14:textFill>
            <w14:solidFill>
              <w14:schemeClr w14:val="accent6"/>
            </w14:solidFill>
          </w14:textFill>
        </w:rPr>
        <w:fldChar w:fldCharType="end"/>
      </w:r>
      <w:r>
        <w:rPr>
          <w:rFonts w:hint="eastAsia"/>
          <w:color w:val="70AD47" w:themeColor="accent6"/>
          <w:lang w:val="en-US" w:eastAsia="zh-CN"/>
          <w14:textFill>
            <w14:solidFill>
              <w14:schemeClr w14:val="accent6"/>
            </w14:solidFill>
          </w14:textFill>
        </w:rPr>
        <w:t xml:space="preserve">  KPC18-02/B(2.02.25.0441)型控制器供货范围</w:t>
      </w:r>
    </w:p>
    <w:tbl>
      <w:tblPr>
        <w:tblStyle w:val="61"/>
        <w:tblW w:w="8901" w:type="dxa"/>
        <w:tblInd w:w="3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82"/>
        <w:gridCol w:w="3528"/>
        <w:gridCol w:w="750"/>
        <w:gridCol w:w="750"/>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imes New Roman" w:hAnsi="Times New Roman" w:eastAsia="宋体" w:cs="Times New Roman"/>
                <w:color w:val="70AD47" w:themeColor="accent6"/>
                <w:kern w:val="2"/>
                <w:sz w:val="24"/>
                <w:szCs w:val="24"/>
                <w:lang w:val="en-US" w:eastAsia="zh-CN" w:bidi="ar-SA"/>
                <w14:textFill>
                  <w14:solidFill>
                    <w14:schemeClr w14:val="accent6"/>
                  </w14:solidFill>
                </w14:textFill>
              </w:rPr>
            </w:pPr>
            <w:r>
              <w:rPr>
                <w:rFonts w:hint="default"/>
                <w:color w:val="70AD47" w:themeColor="accent6"/>
                <w:szCs w:val="20"/>
                <w14:textFill>
                  <w14:solidFill>
                    <w14:schemeClr w14:val="accent6"/>
                  </w14:solidFill>
                </w14:textFill>
              </w:rPr>
              <w:t>序号</w:t>
            </w:r>
          </w:p>
        </w:tc>
        <w:tc>
          <w:tcPr>
            <w:tcW w:w="168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imes New Roman" w:hAnsi="Times New Roman" w:eastAsia="宋体" w:cs="Times New Roman"/>
                <w:color w:val="70AD47" w:themeColor="accent6"/>
                <w:kern w:val="2"/>
                <w:sz w:val="24"/>
                <w:szCs w:val="24"/>
                <w:lang w:val="en-US" w:eastAsia="zh-CN" w:bidi="ar-SA"/>
                <w14:textFill>
                  <w14:solidFill>
                    <w14:schemeClr w14:val="accent6"/>
                  </w14:solidFill>
                </w14:textFill>
              </w:rPr>
            </w:pPr>
            <w:r>
              <w:rPr>
                <w:rFonts w:hint="default"/>
                <w:color w:val="70AD47" w:themeColor="accent6"/>
                <w:szCs w:val="20"/>
                <w14:textFill>
                  <w14:solidFill>
                    <w14:schemeClr w14:val="accent6"/>
                  </w14:solidFill>
                </w14:textFill>
              </w:rPr>
              <w:t>名称</w:t>
            </w:r>
          </w:p>
        </w:tc>
        <w:tc>
          <w:tcPr>
            <w:tcW w:w="35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imes New Roman" w:hAnsi="Times New Roman" w:eastAsia="宋体" w:cs="Times New Roman"/>
                <w:color w:val="70AD47" w:themeColor="accent6"/>
                <w:kern w:val="2"/>
                <w:sz w:val="24"/>
                <w:szCs w:val="24"/>
                <w:lang w:val="en-US" w:eastAsia="zh-CN" w:bidi="ar-SA"/>
                <w14:textFill>
                  <w14:solidFill>
                    <w14:schemeClr w14:val="accent6"/>
                  </w14:solidFill>
                </w14:textFill>
              </w:rPr>
            </w:pPr>
            <w:r>
              <w:rPr>
                <w:rFonts w:hint="default"/>
                <w:color w:val="70AD47" w:themeColor="accent6"/>
                <w:szCs w:val="20"/>
                <w14:textFill>
                  <w14:solidFill>
                    <w14:schemeClr w14:val="accent6"/>
                  </w14:solidFill>
                </w14:textFill>
              </w:rPr>
              <w:t>规格型号</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imes New Roman" w:hAnsi="Times New Roman" w:eastAsia="宋体" w:cs="Times New Roman"/>
                <w:color w:val="70AD47" w:themeColor="accent6"/>
                <w:kern w:val="2"/>
                <w:sz w:val="24"/>
                <w:szCs w:val="24"/>
                <w:lang w:val="en-US" w:eastAsia="zh-CN" w:bidi="ar-SA"/>
                <w14:textFill>
                  <w14:solidFill>
                    <w14:schemeClr w14:val="accent6"/>
                  </w14:solidFill>
                </w14:textFill>
              </w:rPr>
            </w:pPr>
            <w:r>
              <w:rPr>
                <w:rFonts w:hint="default"/>
                <w:color w:val="70AD47" w:themeColor="accent6"/>
                <w:szCs w:val="20"/>
                <w14:textFill>
                  <w14:solidFill>
                    <w14:schemeClr w14:val="accent6"/>
                  </w14:solidFill>
                </w14:textFill>
              </w:rPr>
              <w:t>数量</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imes New Roman" w:hAnsi="Times New Roman" w:eastAsia="宋体" w:cs="Times New Roman"/>
                <w:color w:val="70AD47" w:themeColor="accent6"/>
                <w:kern w:val="2"/>
                <w:sz w:val="24"/>
                <w:szCs w:val="24"/>
                <w:lang w:val="en-US" w:eastAsia="zh-CN" w:bidi="ar-SA"/>
                <w14:textFill>
                  <w14:solidFill>
                    <w14:schemeClr w14:val="accent6"/>
                  </w14:solidFill>
                </w14:textFill>
              </w:rPr>
            </w:pPr>
            <w:r>
              <w:rPr>
                <w:rFonts w:hint="default"/>
                <w:color w:val="70AD47" w:themeColor="accent6"/>
                <w:szCs w:val="20"/>
                <w14:textFill>
                  <w14:solidFill>
                    <w14:schemeClr w14:val="accent6"/>
                  </w14:solidFill>
                </w14:textFill>
              </w:rPr>
              <w:t>芯数</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imes New Roman" w:hAnsi="Times New Roman" w:eastAsia="宋体" w:cs="Times New Roman"/>
                <w:color w:val="70AD47" w:themeColor="accent6"/>
                <w:kern w:val="2"/>
                <w:sz w:val="24"/>
                <w:szCs w:val="24"/>
                <w:lang w:val="en-US" w:eastAsia="zh-CN" w:bidi="ar-SA"/>
                <w14:textFill>
                  <w14:solidFill>
                    <w14:schemeClr w14:val="accent6"/>
                  </w14:solidFill>
                </w14:textFill>
              </w:rPr>
            </w:pPr>
            <w:r>
              <w:rPr>
                <w:rFonts w:hint="default"/>
                <w:color w:val="70AD47" w:themeColor="accent6"/>
                <w:szCs w:val="20"/>
                <w14:textFill>
                  <w14:solidFill>
                    <w14:schemeClr w14:val="accent6"/>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w:t>
            </w:r>
          </w:p>
        </w:tc>
        <w:tc>
          <w:tcPr>
            <w:tcW w:w="168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eastAsia="zh-CN"/>
                <w14:textFill>
                  <w14:solidFill>
                    <w14:schemeClr w14:val="accent6"/>
                  </w14:solidFill>
                </w14:textFill>
              </w:rPr>
              <w:t>空调控制器</w:t>
            </w:r>
          </w:p>
        </w:tc>
        <w:tc>
          <w:tcPr>
            <w:tcW w:w="35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KPC18-02/B</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eastAsia="zh-CN"/>
                <w14:textFill>
                  <w14:solidFill>
                    <w14:schemeClr w14:val="accent6"/>
                  </w14:solidFill>
                </w14:textFill>
              </w:rPr>
              <w:t>不含铭牌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2</w:t>
            </w:r>
          </w:p>
        </w:tc>
        <w:tc>
          <w:tcPr>
            <w:tcW w:w="1682"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eastAsia="zh-CN"/>
                <w14:textFill>
                  <w14:solidFill>
                    <w14:schemeClr w14:val="accent6"/>
                  </w14:solidFill>
                </w14:textFill>
              </w:rPr>
              <w:t>配套连接器插头</w:t>
            </w:r>
          </w:p>
        </w:tc>
        <w:tc>
          <w:tcPr>
            <w:tcW w:w="352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宋体" w:hAnsi="宋体" w:eastAsia="宋体" w:cs="Times New Roman"/>
                <w:color w:val="70AD47" w:themeColor="accent6"/>
                <w:kern w:val="2"/>
                <w:sz w:val="24"/>
                <w:szCs w:val="24"/>
                <w:lang w:val="en-US" w:eastAsia="zh-CN" w:bidi="ar-SA"/>
                <w14:textFill>
                  <w14:solidFill>
                    <w14:schemeClr w14:val="accent6"/>
                  </w14:solidFill>
                </w14:textFill>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C2P 3.50/04/180LR SN BK BX</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4</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1682"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352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宋体" w:hAnsi="宋体" w:eastAsia="宋体" w:cs="Times New Roman"/>
                <w:color w:val="70AD47" w:themeColor="accent6"/>
                <w:kern w:val="2"/>
                <w:sz w:val="24"/>
                <w:szCs w:val="24"/>
                <w:lang w:val="en-US" w:eastAsia="zh-CN" w:bidi="ar-SA"/>
                <w14:textFill>
                  <w14:solidFill>
                    <w14:schemeClr w14:val="accent6"/>
                  </w14:solidFill>
                </w14:textFill>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C2P 3.50/06/180LR SN BK BX</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6</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1682"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352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宋体" w:hAnsi="宋体" w:eastAsia="宋体" w:cs="Times New Roman"/>
                <w:color w:val="70AD47" w:themeColor="accent6"/>
                <w:kern w:val="2"/>
                <w:sz w:val="24"/>
                <w:szCs w:val="24"/>
                <w:lang w:val="en-US" w:eastAsia="zh-CN" w:bidi="ar-SA"/>
                <w14:textFill>
                  <w14:solidFill>
                    <w14:schemeClr w14:val="accent6"/>
                  </w14:solidFill>
                </w14:textFill>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C2P 3.50/16/180LR SN BK BX</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2</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16</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1682"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352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C2P 3.50/14/180LR SN BK BX</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2</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14</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1682"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352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宋体" w:hAnsi="宋体" w:eastAsia="宋体" w:cs="Times New Roman"/>
                <w:color w:val="70AD47" w:themeColor="accent6"/>
                <w:kern w:val="2"/>
                <w:sz w:val="24"/>
                <w:szCs w:val="24"/>
                <w:lang w:val="en-US" w:eastAsia="zh-CN" w:bidi="ar-SA"/>
                <w14:textFill>
                  <w14:solidFill>
                    <w14:schemeClr w14:val="accent6"/>
                  </w14:solidFill>
                </w14:textFill>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C2P 3.50/12/180LR SN BK BX</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12</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1682"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352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C2P 3.50/18/180LR SN BK BX</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2</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18</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1682"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p>
        </w:tc>
        <w:tc>
          <w:tcPr>
            <w:tcW w:w="352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C2P 3.50/20/180LR SN BK BX</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1</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20</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Theme="minorEastAsia" w:hAnsiTheme="minorEastAsia" w:eastAsiaTheme="minorEastAsia"/>
                <w:color w:val="70AD47" w:themeColor="accent6"/>
                <w:szCs w:val="20"/>
                <w:vertAlign w:val="baseline"/>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魏德米勒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3</w:t>
            </w:r>
          </w:p>
        </w:tc>
        <w:tc>
          <w:tcPr>
            <w:tcW w:w="168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十字盘头组合螺钉</w:t>
            </w:r>
          </w:p>
        </w:tc>
        <w:tc>
          <w:tcPr>
            <w:tcW w:w="352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rPr>
                <w:rFonts w:hint="eastAsia" w:ascii="宋体" w:hAnsi="宋体" w:eastAsia="宋体" w:cs="Times New Roman"/>
                <w:kern w:val="2"/>
                <w:sz w:val="24"/>
                <w:szCs w:val="21"/>
                <w:lang w:val="en-US" w:eastAsia="zh-CN" w:bidi="ar-SA"/>
              </w:rPr>
            </w:pPr>
            <w:r>
              <w:rPr>
                <w:rFonts w:hint="eastAsia" w:ascii="宋体" w:hAnsi="宋体" w:eastAsia="宋体" w:cs="宋体"/>
                <w:i w:val="0"/>
                <w:iCs w:val="0"/>
                <w:color w:val="70AD47" w:themeColor="accent6"/>
                <w:kern w:val="0"/>
                <w:sz w:val="24"/>
                <w:szCs w:val="24"/>
                <w:u w:val="none"/>
                <w:lang w:val="en-US" w:eastAsia="zh-CN" w:bidi="ar"/>
                <w14:textFill>
                  <w14:solidFill>
                    <w14:schemeClr w14:val="accent6"/>
                  </w14:solidFill>
                </w14:textFill>
              </w:rPr>
              <w:t>M3*6-GB9074.4-1988-不锈钢</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4</w:t>
            </w:r>
          </w:p>
        </w:tc>
        <w:tc>
          <w:tcPr>
            <w:tcW w:w="750"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w:t>
            </w:r>
          </w:p>
        </w:tc>
        <w:tc>
          <w:tcPr>
            <w:tcW w:w="148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rPr>
                <w:rFonts w:hint="default" w:asciiTheme="minorEastAsia" w:hAnsiTheme="minorEastAsia" w:eastAsiaTheme="minorEastAsia"/>
                <w:color w:val="70AD47" w:themeColor="accent6"/>
                <w:szCs w:val="20"/>
                <w:vertAlign w:val="baseline"/>
                <w:lang w:val="en-US" w:eastAsia="zh-CN"/>
                <w14:textFill>
                  <w14:solidFill>
                    <w14:schemeClr w14:val="accent6"/>
                  </w14:solidFill>
                </w14:textFill>
              </w:rPr>
            </w:pPr>
            <w:r>
              <w:rPr>
                <w:rFonts w:hint="eastAsia" w:asciiTheme="minorEastAsia" w:hAnsiTheme="minorEastAsia" w:eastAsiaTheme="minorEastAsia"/>
                <w:color w:val="70AD47" w:themeColor="accent6"/>
                <w:szCs w:val="20"/>
                <w:vertAlign w:val="baseline"/>
                <w:lang w:val="en-US" w:eastAsia="zh-CN"/>
                <w14:textFill>
                  <w14:solidFill>
                    <w14:schemeClr w14:val="accent6"/>
                  </w14:solidFill>
                </w14:textFill>
              </w:rPr>
              <w:t>用于网卡安装</w:t>
            </w:r>
          </w:p>
        </w:tc>
      </w:tr>
    </w:tbl>
    <w:p>
      <w:pPr>
        <w:spacing w:line="360" w:lineRule="auto"/>
        <w:ind w:left="92" w:leftChars="44" w:right="232" w:firstLine="480"/>
        <w:jc w:val="left"/>
        <w:rPr>
          <w:rFonts w:hint="eastAsia" w:asciiTheme="minorEastAsia" w:hAnsiTheme="minorEastAsia" w:eastAsiaTheme="minorEastAsia"/>
          <w:color w:val="FFD966" w:themeColor="accent4" w:themeTint="99"/>
          <w14:textFill>
            <w14:solidFill>
              <w14:schemeClr w14:val="accent4">
                <w14:lumMod w14:val="60000"/>
                <w14:lumOff w14:val="40000"/>
              </w14:schemeClr>
            </w14:solidFill>
          </w14:textFill>
        </w:rPr>
      </w:pPr>
      <w:r>
        <w:rPr>
          <w:rFonts w:hint="eastAsia" w:asciiTheme="minorEastAsia" w:hAnsiTheme="minorEastAsia" w:eastAsiaTheme="minorEastAsia"/>
          <w:color w:val="FF0000"/>
        </w:rPr>
        <w:t>注：控制器附件均采用密封袋包装，包装上粘贴附件型号（KPC18-02控制器附件）等标识，包装袋内同时含附件清单，包含附件插头和防插错销的品牌、规格型号、数量等，</w:t>
      </w:r>
      <w:r>
        <w:rPr>
          <w:rFonts w:hint="eastAsia" w:asciiTheme="minorEastAsia" w:hAnsiTheme="minorEastAsia" w:eastAsiaTheme="minorEastAsia"/>
          <w:color w:val="00B050"/>
        </w:rPr>
        <w:t>防插错销需发货前安装在插座和插头上，</w:t>
      </w:r>
      <w:r>
        <w:rPr>
          <w:rFonts w:hint="eastAsia" w:asciiTheme="minorEastAsia" w:hAnsiTheme="minorEastAsia" w:eastAsiaTheme="minorEastAsia"/>
          <w:color w:val="FFD966" w:themeColor="accent4" w:themeTint="99"/>
          <w14:textFill>
            <w14:solidFill>
              <w14:schemeClr w14:val="accent4">
                <w14:lumMod w14:val="60000"/>
                <w14:lumOff w14:val="40000"/>
              </w14:schemeClr>
            </w14:solidFill>
          </w14:textFill>
        </w:rPr>
        <w:t>M12接口出厂前需安装防尘塞。</w:t>
      </w:r>
    </w:p>
    <w:p>
      <w:pPr>
        <w:rPr>
          <w:rFonts w:hint="eastAsia" w:asciiTheme="minorEastAsia" w:hAnsiTheme="minorEastAsia" w:eastAsiaTheme="minorEastAsia"/>
          <w:color w:val="FFD966" w:themeColor="accent4" w:themeTint="99"/>
          <w14:textFill>
            <w14:solidFill>
              <w14:schemeClr w14:val="accent4">
                <w14:lumMod w14:val="60000"/>
                <w14:lumOff w14:val="40000"/>
              </w14:schemeClr>
            </w14:solidFill>
          </w14:textFill>
        </w:rPr>
      </w:pPr>
      <w:r>
        <w:rPr>
          <w:rFonts w:hint="eastAsia" w:asciiTheme="minorEastAsia" w:hAnsiTheme="minorEastAsia" w:eastAsiaTheme="minorEastAsia"/>
          <w:color w:val="FFD966" w:themeColor="accent4" w:themeTint="99"/>
          <w14:textFill>
            <w14:solidFill>
              <w14:schemeClr w14:val="accent4">
                <w14:lumMod w14:val="60000"/>
                <w14:lumOff w14:val="40000"/>
              </w14:schemeClr>
            </w14:solidFill>
          </w14:textFill>
        </w:rPr>
        <w:br w:type="page"/>
      </w:r>
    </w:p>
    <w:p>
      <w:pPr>
        <w:pStyle w:val="2"/>
        <w:spacing w:before="240" w:after="120"/>
      </w:pPr>
      <w:bookmarkStart w:id="26" w:name="_Toc15333"/>
      <w:r>
        <w:t>引用标准及相关文件</w:t>
      </w:r>
      <w:bookmarkEnd w:id="26"/>
    </w:p>
    <w:p>
      <w:pPr>
        <w:spacing w:line="360" w:lineRule="auto"/>
        <w:ind w:left="92" w:leftChars="44" w:right="232" w:firstLine="480"/>
        <w:jc w:val="left"/>
        <w:rPr>
          <w:rFonts w:asciiTheme="minorEastAsia" w:hAnsiTheme="minorEastAsia" w:eastAsiaTheme="minorEastAsia"/>
          <w:color w:val="FF0000"/>
        </w:rPr>
      </w:pPr>
      <w:r>
        <w:rPr>
          <w:rFonts w:hint="eastAsia" w:asciiTheme="minorEastAsia" w:hAnsiTheme="minorEastAsia" w:eastAsiaTheme="minorEastAsia"/>
          <w:color w:val="FF0000"/>
        </w:rPr>
        <w:t>以下标准所包含的条文，通过在本技术条件中引用而成为本文的条文。所有标准都会被修订，使用本技术条件时，应使用下列标准最新版本。如果以下所列的标准没有覆盖某些项目，经双方共同确认后，可采用适用的有关标准。</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IEC60077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铁路车辆的电气设备</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IEC60571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机车车辆用电子设备</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IEC61373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机车车辆设备</w:t>
      </w:r>
      <w:r>
        <w:rPr>
          <w:rFonts w:asciiTheme="minorEastAsia" w:hAnsiTheme="minorEastAsia" w:eastAsiaTheme="minorEastAsia"/>
          <w:color w:val="FF0000"/>
        </w:rPr>
        <w:t>-</w:t>
      </w:r>
      <w:r>
        <w:rPr>
          <w:rFonts w:hint="eastAsia" w:asciiTheme="minorEastAsia" w:hAnsiTheme="minorEastAsia" w:eastAsiaTheme="minorEastAsia"/>
          <w:color w:val="FF0000"/>
        </w:rPr>
        <w:t>冲击和振动</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IEC61131-2可编程控制器–2部分:设备需求和测试</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IEC60529 </w:t>
      </w:r>
      <w:r>
        <w:rPr>
          <w:rFonts w:hint="eastAsia" w:asciiTheme="minorEastAsia" w:hAnsiTheme="minorEastAsia" w:eastAsiaTheme="minorEastAsia"/>
          <w:color w:val="FF0000"/>
        </w:rPr>
        <w:t>外壳防护等级（</w:t>
      </w:r>
      <w:r>
        <w:rPr>
          <w:rFonts w:asciiTheme="minorEastAsia" w:hAnsiTheme="minorEastAsia" w:eastAsiaTheme="minorEastAsia"/>
          <w:color w:val="FF0000"/>
        </w:rPr>
        <w:t xml:space="preserve">IP </w:t>
      </w:r>
      <w:r>
        <w:rPr>
          <w:rFonts w:hint="eastAsia" w:asciiTheme="minorEastAsia" w:hAnsiTheme="minorEastAsia" w:eastAsiaTheme="minorEastAsia"/>
          <w:color w:val="FF0000"/>
        </w:rPr>
        <w:t>等级）</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IEC62380 </w:t>
      </w:r>
      <w:r>
        <w:rPr>
          <w:rFonts w:hint="eastAsia" w:asciiTheme="minorEastAsia" w:hAnsiTheme="minorEastAsia" w:eastAsiaTheme="minorEastAsia"/>
          <w:color w:val="FF0000"/>
        </w:rPr>
        <w:t>电子产品、</w:t>
      </w:r>
      <w:r>
        <w:rPr>
          <w:rFonts w:asciiTheme="minorEastAsia" w:hAnsiTheme="minorEastAsia" w:eastAsiaTheme="minorEastAsia"/>
          <w:color w:val="FF0000"/>
        </w:rPr>
        <w:t xml:space="preserve">PCBs </w:t>
      </w:r>
      <w:r>
        <w:rPr>
          <w:rFonts w:hint="eastAsia" w:asciiTheme="minorEastAsia" w:hAnsiTheme="minorEastAsia" w:eastAsiaTheme="minorEastAsia"/>
          <w:color w:val="FF0000"/>
        </w:rPr>
        <w:t>和设备的可靠性预计通用模型</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EN15085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机车车辆及其部件的焊接</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EN45545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轨道车辆防火</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EN50121-3-2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电磁兼容性</w:t>
      </w:r>
      <w:r>
        <w:rPr>
          <w:rFonts w:asciiTheme="minorEastAsia" w:hAnsiTheme="minorEastAsia" w:eastAsiaTheme="minorEastAsia"/>
          <w:color w:val="FF0000"/>
        </w:rPr>
        <w:t>-</w:t>
      </w:r>
      <w:r>
        <w:rPr>
          <w:rFonts w:hint="eastAsia" w:asciiTheme="minorEastAsia" w:hAnsiTheme="minorEastAsia" w:eastAsiaTheme="minorEastAsia"/>
          <w:color w:val="FF0000"/>
        </w:rPr>
        <w:t>第</w:t>
      </w:r>
      <w:r>
        <w:rPr>
          <w:rFonts w:asciiTheme="minorEastAsia" w:hAnsiTheme="minorEastAsia" w:eastAsiaTheme="minorEastAsia"/>
          <w:color w:val="FF0000"/>
        </w:rPr>
        <w:t xml:space="preserve">3-2 </w:t>
      </w:r>
      <w:r>
        <w:rPr>
          <w:rFonts w:hint="eastAsia" w:asciiTheme="minorEastAsia" w:hAnsiTheme="minorEastAsia" w:eastAsiaTheme="minorEastAsia"/>
          <w:color w:val="FF0000"/>
        </w:rPr>
        <w:t>部分：机车车辆</w:t>
      </w:r>
      <w:r>
        <w:rPr>
          <w:rFonts w:asciiTheme="minorEastAsia" w:hAnsiTheme="minorEastAsia" w:eastAsiaTheme="minorEastAsia"/>
          <w:color w:val="FF0000"/>
        </w:rPr>
        <w:t>-</w:t>
      </w:r>
      <w:r>
        <w:rPr>
          <w:rFonts w:hint="eastAsia" w:asciiTheme="minorEastAsia" w:hAnsiTheme="minorEastAsia" w:eastAsiaTheme="minorEastAsia"/>
          <w:color w:val="FF0000"/>
        </w:rPr>
        <w:t>设备</w:t>
      </w:r>
    </w:p>
    <w:p>
      <w:pPr>
        <w:spacing w:line="360" w:lineRule="auto"/>
        <w:ind w:left="92" w:leftChars="44" w:right="232" w:firstLine="480"/>
        <w:jc w:val="left"/>
        <w:rPr>
          <w:rFonts w:asciiTheme="minorEastAsia" w:hAnsiTheme="minorEastAsia" w:eastAsiaTheme="minorEastAsia"/>
          <w:color w:val="FF0000"/>
        </w:rPr>
      </w:pPr>
      <w:r>
        <w:rPr>
          <w:rFonts w:hint="eastAsia" w:asciiTheme="minorEastAsia" w:hAnsiTheme="minorEastAsia" w:eastAsiaTheme="minorEastAsia"/>
          <w:color w:val="FF0000"/>
        </w:rPr>
        <w:t>EN55011 工业,科学和医疗设备射频骚扰特性、限值和测量方法</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EN50343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机车车辆</w:t>
      </w:r>
      <w:r>
        <w:rPr>
          <w:rFonts w:asciiTheme="minorEastAsia" w:hAnsiTheme="minorEastAsia" w:eastAsiaTheme="minorEastAsia"/>
          <w:color w:val="FF0000"/>
        </w:rPr>
        <w:t>-</w:t>
      </w:r>
      <w:r>
        <w:rPr>
          <w:rFonts w:hint="eastAsia" w:asciiTheme="minorEastAsia" w:hAnsiTheme="minorEastAsia" w:eastAsiaTheme="minorEastAsia"/>
          <w:color w:val="FF0000"/>
        </w:rPr>
        <w:t>布线规则</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EN50155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车辆用电子设备</w:t>
      </w:r>
    </w:p>
    <w:p>
      <w:pPr>
        <w:spacing w:line="360" w:lineRule="auto"/>
        <w:ind w:left="92" w:leftChars="44" w:right="232" w:firstLine="480"/>
        <w:jc w:val="left"/>
        <w:rPr>
          <w:rFonts w:asciiTheme="minorEastAsia" w:hAnsiTheme="minorEastAsia" w:eastAsiaTheme="minorEastAsia"/>
          <w:color w:val="FF0000"/>
        </w:rPr>
      </w:pPr>
      <w:r>
        <w:rPr>
          <w:rFonts w:hint="eastAsia" w:asciiTheme="minorEastAsia" w:hAnsiTheme="minorEastAsia" w:eastAsiaTheme="minorEastAsia"/>
          <w:color w:val="FF0000"/>
        </w:rPr>
        <w:t>EN50126 铁路应用-可靠性、可用性、可维修性和安全性（RAMS）的规范和论证</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EN50128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通讯、信号和处理系统</w:t>
      </w:r>
      <w:r>
        <w:rPr>
          <w:rFonts w:asciiTheme="minorEastAsia" w:hAnsiTheme="minorEastAsia" w:eastAsiaTheme="minorEastAsia"/>
          <w:color w:val="FF0000"/>
        </w:rPr>
        <w:t>-</w:t>
      </w:r>
      <w:r>
        <w:rPr>
          <w:rFonts w:hint="eastAsia" w:asciiTheme="minorEastAsia" w:hAnsiTheme="minorEastAsia" w:eastAsiaTheme="minorEastAsia"/>
          <w:color w:val="FF0000"/>
        </w:rPr>
        <w:t>铁路控制和防护系统软件</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EN50264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具有特殊防火性能的铁路车辆用电力电缆与控制电缆</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 xml:space="preserve">EN50306 </w:t>
      </w:r>
      <w:r>
        <w:rPr>
          <w:rFonts w:hint="eastAsia" w:asciiTheme="minorEastAsia" w:hAnsiTheme="minorEastAsia" w:eastAsiaTheme="minorEastAsia"/>
          <w:color w:val="FF0000"/>
        </w:rPr>
        <w:t>铁路应用</w:t>
      </w:r>
      <w:r>
        <w:rPr>
          <w:rFonts w:asciiTheme="minorEastAsia" w:hAnsiTheme="minorEastAsia" w:eastAsiaTheme="minorEastAsia"/>
          <w:color w:val="FF0000"/>
        </w:rPr>
        <w:t>-</w:t>
      </w:r>
      <w:r>
        <w:rPr>
          <w:rFonts w:hint="eastAsia" w:asciiTheme="minorEastAsia" w:hAnsiTheme="minorEastAsia" w:eastAsiaTheme="minorEastAsia"/>
          <w:color w:val="FF0000"/>
        </w:rPr>
        <w:t>具有特殊防火性能的铁路车辆用电缆</w:t>
      </w:r>
      <w:r>
        <w:rPr>
          <w:rFonts w:asciiTheme="minorEastAsia" w:hAnsiTheme="minorEastAsia" w:eastAsiaTheme="minorEastAsia"/>
          <w:color w:val="FF0000"/>
        </w:rPr>
        <w:t>-</w:t>
      </w:r>
      <w:r>
        <w:rPr>
          <w:rFonts w:hint="eastAsia" w:asciiTheme="minorEastAsia" w:hAnsiTheme="minorEastAsia" w:eastAsiaTheme="minorEastAsia"/>
          <w:color w:val="FF0000"/>
        </w:rPr>
        <w:t>薄壁</w:t>
      </w:r>
    </w:p>
    <w:p>
      <w:pPr>
        <w:spacing w:line="360" w:lineRule="auto"/>
        <w:ind w:left="92" w:leftChars="44" w:right="232" w:firstLine="480"/>
        <w:jc w:val="left"/>
        <w:rPr>
          <w:rFonts w:asciiTheme="minorEastAsia" w:hAnsiTheme="minorEastAsia" w:eastAsiaTheme="minorEastAsia"/>
          <w:color w:val="FF0000"/>
        </w:rPr>
      </w:pPr>
      <w:r>
        <w:rPr>
          <w:rFonts w:hint="eastAsia" w:asciiTheme="minorEastAsia" w:hAnsiTheme="minorEastAsia" w:eastAsiaTheme="minorEastAsia"/>
          <w:color w:val="FF0000"/>
        </w:rPr>
        <w:t>MIL-HDBK-217 电子设备可靠性预计手册</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GB/T 2423系列  电工电子产品环境试验</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GB/T 21413.1铁路应用</w:t>
      </w:r>
      <w:r>
        <w:rPr>
          <w:rFonts w:hint="eastAsia" w:asciiTheme="minorEastAsia" w:hAnsiTheme="minorEastAsia" w:eastAsiaTheme="minorEastAsia"/>
          <w:color w:val="FF0000"/>
        </w:rPr>
        <w:t>-</w:t>
      </w:r>
      <w:r>
        <w:rPr>
          <w:rFonts w:asciiTheme="minorEastAsia" w:hAnsiTheme="minorEastAsia" w:eastAsiaTheme="minorEastAsia"/>
          <w:color w:val="FF0000"/>
        </w:rPr>
        <w:t>机车车辆电气设备</w:t>
      </w:r>
      <w:r>
        <w:rPr>
          <w:rFonts w:hint="eastAsia" w:asciiTheme="minorEastAsia" w:hAnsiTheme="minorEastAsia" w:eastAsiaTheme="minorEastAsia"/>
          <w:color w:val="FF0000"/>
        </w:rPr>
        <w:t>-</w:t>
      </w:r>
      <w:r>
        <w:rPr>
          <w:rFonts w:asciiTheme="minorEastAsia" w:hAnsiTheme="minorEastAsia" w:eastAsiaTheme="minorEastAsia"/>
          <w:color w:val="FF0000"/>
        </w:rPr>
        <w:t>第1部分：一般使用条件和通用规则</w:t>
      </w:r>
    </w:p>
    <w:p>
      <w:pPr>
        <w:spacing w:line="360" w:lineRule="auto"/>
        <w:ind w:left="92" w:leftChars="44" w:right="232" w:firstLine="480"/>
        <w:jc w:val="left"/>
        <w:rPr>
          <w:rFonts w:asciiTheme="minorEastAsia" w:hAnsiTheme="minorEastAsia" w:eastAsiaTheme="minorEastAsia"/>
          <w:color w:val="FF0000"/>
        </w:rPr>
      </w:pPr>
      <w:r>
        <w:rPr>
          <w:rFonts w:hint="eastAsia" w:asciiTheme="minorEastAsia" w:hAnsiTheme="minorEastAsia" w:eastAsiaTheme="minorEastAsia"/>
          <w:color w:val="FF0000"/>
        </w:rPr>
        <w:t>GB/T 24338.4 轨道交通 电磁兼容-第</w:t>
      </w:r>
      <w:r>
        <w:rPr>
          <w:rFonts w:asciiTheme="minorEastAsia" w:hAnsiTheme="minorEastAsia" w:eastAsiaTheme="minorEastAsia"/>
          <w:color w:val="FF0000"/>
        </w:rPr>
        <w:t xml:space="preserve">3-2 </w:t>
      </w:r>
      <w:r>
        <w:rPr>
          <w:rFonts w:hint="eastAsia" w:asciiTheme="minorEastAsia" w:hAnsiTheme="minorEastAsia" w:eastAsiaTheme="minorEastAsia"/>
          <w:color w:val="FF0000"/>
        </w:rPr>
        <w:t>部分：机车车辆</w:t>
      </w:r>
      <w:r>
        <w:rPr>
          <w:rFonts w:asciiTheme="minorEastAsia" w:hAnsiTheme="minorEastAsia" w:eastAsiaTheme="minorEastAsia"/>
          <w:color w:val="FF0000"/>
        </w:rPr>
        <w:t>-</w:t>
      </w:r>
      <w:r>
        <w:rPr>
          <w:rFonts w:hint="eastAsia" w:asciiTheme="minorEastAsia" w:hAnsiTheme="minorEastAsia" w:eastAsiaTheme="minorEastAsia"/>
          <w:color w:val="FF0000"/>
        </w:rPr>
        <w:t>设备</w:t>
      </w:r>
    </w:p>
    <w:p>
      <w:pPr>
        <w:spacing w:line="360" w:lineRule="auto"/>
        <w:ind w:left="92" w:leftChars="44" w:right="232" w:firstLine="480"/>
        <w:jc w:val="left"/>
        <w:rPr>
          <w:rFonts w:asciiTheme="minorEastAsia" w:hAnsiTheme="minorEastAsia" w:eastAsiaTheme="minorEastAsia"/>
          <w:color w:val="FF0000"/>
        </w:rPr>
      </w:pPr>
      <w:r>
        <w:rPr>
          <w:rFonts w:hint="eastAsia" w:asciiTheme="minorEastAsia" w:hAnsiTheme="minorEastAsia" w:eastAsiaTheme="minorEastAsia"/>
          <w:color w:val="FF0000"/>
        </w:rPr>
        <w:t>GB/T 25119 轨道交通 机车车辆电子装置</w:t>
      </w:r>
    </w:p>
    <w:p>
      <w:pPr>
        <w:spacing w:line="360" w:lineRule="auto"/>
        <w:ind w:left="92" w:leftChars="44" w:right="232" w:firstLine="480"/>
        <w:jc w:val="left"/>
        <w:rPr>
          <w:rFonts w:asciiTheme="minorEastAsia" w:hAnsiTheme="minorEastAsia" w:eastAsiaTheme="minorEastAsia"/>
          <w:color w:val="FF0000"/>
        </w:rPr>
      </w:pPr>
      <w:r>
        <w:rPr>
          <w:rFonts w:asciiTheme="minorEastAsia" w:hAnsiTheme="minorEastAsia" w:eastAsiaTheme="minorEastAsia"/>
          <w:color w:val="FF0000"/>
        </w:rPr>
        <w:t>BZDT1111-CG-G100-001</w:t>
      </w:r>
      <w:r>
        <w:rPr>
          <w:rFonts w:hint="eastAsia" w:asciiTheme="minorEastAsia" w:hAnsiTheme="minorEastAsia" w:eastAsiaTheme="minorEastAsia"/>
          <w:color w:val="FF0000"/>
        </w:rPr>
        <w:t>系列化中国标准地铁列车研制及试验项目电磁兼容通用技术条件</w:t>
      </w:r>
    </w:p>
    <w:p>
      <w:pPr>
        <w:spacing w:line="360" w:lineRule="auto"/>
        <w:ind w:left="92" w:leftChars="44" w:right="232" w:firstLine="480"/>
        <w:jc w:val="left"/>
        <w:rPr>
          <w:rFonts w:asciiTheme="minorEastAsia" w:hAnsiTheme="minorEastAsia" w:eastAsiaTheme="minorEastAsia"/>
          <w:color w:val="FF0000"/>
        </w:rPr>
      </w:pPr>
      <w:r>
        <w:rPr>
          <w:rFonts w:hint="eastAsia" w:asciiTheme="minorEastAsia" w:hAnsiTheme="minorEastAsia" w:eastAsiaTheme="minorEastAsia"/>
          <w:color w:val="FF0000"/>
        </w:rPr>
        <w:t>TB/T 3139 机车车辆非金属材料及室内空气有害物质限量</w:t>
      </w:r>
    </w:p>
    <w:p>
      <w:pPr>
        <w:pStyle w:val="2"/>
        <w:spacing w:before="240" w:after="120"/>
      </w:pPr>
      <w:bookmarkStart w:id="27" w:name="_Toc13726"/>
      <w:r>
        <w:t>KPC硬件参数</w:t>
      </w:r>
      <w:bookmarkEnd w:id="27"/>
    </w:p>
    <w:p>
      <w:pPr>
        <w:pStyle w:val="3"/>
        <w:tabs>
          <w:tab w:val="left" w:pos="0"/>
          <w:tab w:val="clear" w:pos="567"/>
        </w:tabs>
        <w:spacing w:before="120"/>
      </w:pPr>
      <w:bookmarkStart w:id="28" w:name="_Toc9782"/>
      <w:r>
        <w:t>应用环境条件</w:t>
      </w:r>
      <w:bookmarkEnd w:id="28"/>
    </w:p>
    <w:p>
      <w:pPr>
        <w:ind w:firstLine="480"/>
      </w:pPr>
      <w:r>
        <w:t>环境温度：－25</w:t>
      </w:r>
      <w:r>
        <w:rPr>
          <w:rFonts w:hint="eastAsia"/>
        </w:rPr>
        <w:t>℃</w:t>
      </w:r>
      <w:r>
        <w:t>～＋70</w:t>
      </w:r>
      <w:r>
        <w:rPr>
          <w:rFonts w:hint="eastAsia"/>
        </w:rPr>
        <w:t>℃</w:t>
      </w:r>
    </w:p>
    <w:p>
      <w:pPr>
        <w:ind w:firstLine="480"/>
        <w:rPr>
          <w:rFonts w:hint="default" w:eastAsia="宋体"/>
          <w:lang w:val="en-US" w:eastAsia="zh-CN"/>
        </w:rPr>
      </w:pPr>
      <w:r>
        <w:t>存储温度：－40</w:t>
      </w:r>
      <w:r>
        <w:rPr>
          <w:rFonts w:hint="eastAsia"/>
        </w:rPr>
        <w:t>℃</w:t>
      </w:r>
      <w:r>
        <w:t>～＋85</w:t>
      </w:r>
      <w:r>
        <w:rPr>
          <w:rFonts w:hint="eastAsia"/>
        </w:rPr>
        <w:t>℃</w:t>
      </w:r>
      <w:r>
        <w:rPr>
          <w:rFonts w:hint="eastAsia"/>
          <w:lang w:val="en-US" w:eastAsia="zh-CN"/>
        </w:rPr>
        <w:t xml:space="preserve">    </w:t>
      </w:r>
    </w:p>
    <w:p>
      <w:pPr>
        <w:ind w:firstLine="480"/>
        <w:rPr>
          <w:rFonts w:hint="default" w:eastAsia="宋体"/>
          <w:lang w:val="en-US" w:eastAsia="zh-CN"/>
        </w:rPr>
      </w:pPr>
      <w:r>
        <w:t>相对湿度： 0%～95%</w:t>
      </w:r>
      <w:r>
        <w:rPr>
          <w:rFonts w:hint="eastAsia"/>
          <w:lang w:val="en-US" w:eastAsia="zh-CN"/>
        </w:rPr>
        <w:t xml:space="preserve">         </w:t>
      </w:r>
    </w:p>
    <w:p>
      <w:pPr>
        <w:ind w:firstLine="480"/>
      </w:pPr>
      <w:r>
        <w:t>海拔高度： &lt;3000 m</w:t>
      </w:r>
    </w:p>
    <w:p>
      <w:pPr>
        <w:pStyle w:val="3"/>
        <w:tabs>
          <w:tab w:val="left" w:pos="0"/>
          <w:tab w:val="clear" w:pos="567"/>
        </w:tabs>
        <w:spacing w:before="120"/>
      </w:pPr>
      <w:bookmarkStart w:id="29" w:name="_Toc21908"/>
      <w:r>
        <w:t>硬件结构</w:t>
      </w:r>
      <w:bookmarkEnd w:id="29"/>
    </w:p>
    <w:p>
      <w:pPr>
        <w:ind w:firstLine="480"/>
      </w:pPr>
      <w:r>
        <w:rPr>
          <w:rFonts w:hint="eastAsia" w:ascii="宋体" w:hAnsi="宋体"/>
        </w:rPr>
        <w:t xml:space="preserve">◆ </w:t>
      </w:r>
      <w:r>
        <w:rPr>
          <w:rFonts w:hint="eastAsia"/>
        </w:rPr>
        <w:t>芯片更新换代的管控要求：要求所有影响软件的电子元器件采购期至少能维持15年。</w:t>
      </w:r>
    </w:p>
    <w:p>
      <w:pPr>
        <w:ind w:firstLine="480"/>
      </w:pPr>
      <w:r>
        <w:rPr>
          <w:rFonts w:hint="eastAsia" w:ascii="宋体" w:hAnsi="宋体"/>
        </w:rPr>
        <w:t xml:space="preserve">◆ </w:t>
      </w:r>
      <w:r>
        <w:rPr>
          <w:rFonts w:hint="eastAsia"/>
        </w:rPr>
        <w:t>采购期风险评估的要求：要求每年对在产型号进行梳理，若有不能够满足15年采购期的型号需向我司发起型号停用申请。</w:t>
      </w:r>
    </w:p>
    <w:p>
      <w:pPr>
        <w:pStyle w:val="3"/>
        <w:tabs>
          <w:tab w:val="left" w:pos="0"/>
          <w:tab w:val="clear" w:pos="567"/>
        </w:tabs>
        <w:spacing w:before="120"/>
      </w:pPr>
      <w:bookmarkStart w:id="30" w:name="_Toc13499"/>
      <w:r>
        <w:rPr>
          <w:rFonts w:hint="eastAsia"/>
        </w:rPr>
        <w:t>控制器资源说明</w:t>
      </w:r>
      <w:bookmarkEnd w:id="30"/>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8</w:t>
      </w:r>
      <w:r>
        <w:rPr>
          <w:color w:val="FF0000"/>
        </w:rPr>
        <w:fldChar w:fldCharType="end"/>
      </w:r>
      <w:r>
        <w:rPr>
          <w:rFonts w:hint="eastAsia"/>
          <w:color w:val="FF0000"/>
        </w:rPr>
        <w:t xml:space="preserve"> KPC18-02(2.02.25.0225)型控制器</w:t>
      </w:r>
      <w:r>
        <w:rPr>
          <w:color w:val="FF0000"/>
        </w:rPr>
        <w:t>支持的资源配置</w:t>
      </w:r>
    </w:p>
    <w:tbl>
      <w:tblPr>
        <w:tblStyle w:val="60"/>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32"/>
        <w:gridCol w:w="708"/>
        <w:gridCol w:w="40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序号</w:t>
            </w:r>
          </w:p>
        </w:tc>
        <w:tc>
          <w:tcPr>
            <w:tcW w:w="1732"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资源类型</w:t>
            </w:r>
          </w:p>
        </w:tc>
        <w:tc>
          <w:tcPr>
            <w:tcW w:w="708"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数量</w:t>
            </w:r>
          </w:p>
        </w:tc>
        <w:tc>
          <w:tcPr>
            <w:tcW w:w="4014"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规格参数</w:t>
            </w:r>
          </w:p>
        </w:tc>
        <w:tc>
          <w:tcPr>
            <w:tcW w:w="1371"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电源输入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16～30V</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SRAM</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≥128K Byte</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PC104</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firstLine="360"/>
              <w:rPr>
                <w:rFonts w:hint="default"/>
              </w:rPr>
            </w:pPr>
            <w:r>
              <w:rPr>
                <w:rFonts w:hint="default"/>
              </w:rPr>
              <w:t>支持西门子PC104-BG Std TCN；</w:t>
            </w:r>
          </w:p>
          <w:p>
            <w:pPr>
              <w:pStyle w:val="156"/>
              <w:keepNext w:val="0"/>
              <w:keepLines w:val="0"/>
              <w:widowControl/>
              <w:suppressLineNumbers w:val="0"/>
              <w:spacing w:beforeAutospacing="0" w:after="0" w:afterAutospacing="0"/>
              <w:ind w:left="0" w:right="0"/>
              <w:rPr>
                <w:rFonts w:hint="default"/>
              </w:rPr>
            </w:pPr>
            <w:r>
              <w:rPr>
                <w:rFonts w:hint="default"/>
              </w:rPr>
              <w:t>D114L；RS485；HDLC；CANOpen；ETH；</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color w:val="FF0000"/>
              </w:rPr>
              <w:t>5.1</w:t>
            </w:r>
            <w:r>
              <w:rPr>
                <w:rFonts w:hint="eastAsia"/>
                <w:color w:val="FF0000"/>
              </w:rPr>
              <w:t>1</w:t>
            </w:r>
            <w:r>
              <w:rPr>
                <w:rFonts w:hint="default"/>
                <w:color w:val="FF0000"/>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4</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数字量输入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40</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 /隔离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 xml:space="preserve">5.2节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单路数字量输出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20</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w:t>
            </w:r>
            <w:r>
              <w:rPr>
                <w:rFonts w:hint="eastAsia"/>
                <w:color w:val="0000FF"/>
              </w:rPr>
              <w:t>1</w:t>
            </w:r>
            <w:r>
              <w:rPr>
                <w:rFonts w:hint="default"/>
                <w:color w:val="0000FF"/>
              </w:rPr>
              <w:t>A</w:t>
            </w:r>
            <w:r>
              <w:rPr>
                <w:rFonts w:hint="default"/>
              </w:rPr>
              <w:t xml:space="preserve">  DC110V/0.2A/隔离</w:t>
            </w:r>
            <w:r>
              <w:rPr>
                <w:rFonts w:hint="eastAsia"/>
              </w:rPr>
              <w:t>(共正)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6</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双路数字量输出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w:t>
            </w:r>
            <w:r>
              <w:rPr>
                <w:rFonts w:hint="eastAsia"/>
                <w:color w:val="0000FF"/>
              </w:rPr>
              <w:t>1</w:t>
            </w:r>
            <w:r>
              <w:rPr>
                <w:rFonts w:hint="default"/>
                <w:color w:val="0000FF"/>
              </w:rPr>
              <w:t>A</w:t>
            </w:r>
            <w:r>
              <w:rPr>
                <w:rFonts w:hint="default"/>
              </w:rPr>
              <w:t xml:space="preserve">  DC110V/0.2A/隔离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7</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安全输出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2</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w:t>
            </w:r>
            <w:r>
              <w:rPr>
                <w:rFonts w:hint="eastAsia"/>
                <w:color w:val="0000FF"/>
              </w:rPr>
              <w:t>1</w:t>
            </w:r>
            <w:r>
              <w:rPr>
                <w:rFonts w:hint="default"/>
                <w:color w:val="0000FF"/>
              </w:rPr>
              <w:t>A</w:t>
            </w:r>
            <w:r>
              <w:rPr>
                <w:rFonts w:hint="default"/>
              </w:rPr>
              <w:t xml:space="preserve">  DC110V/0.2A/隔离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8</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NTC10K，-50～+100</w:t>
            </w:r>
            <w:r>
              <w:rPr>
                <w:rFonts w:hint="eastAsia" w:cs="宋体"/>
              </w:rPr>
              <w:t>℃</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9</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Flash存储器</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1Gbit NAND</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10</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实时时钟</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RTC 32位*秒 10天</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以太网</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10/100M自适应</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5.7</w:t>
            </w:r>
            <w:r>
              <w:rPr>
                <w:rFonts w:hint="eastAsia"/>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隔离</w:t>
            </w:r>
            <w:r>
              <w:rPr>
                <w:rFonts w:hint="default"/>
              </w:rPr>
              <w:t>SWD接口</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魏德米勒端子座</w:t>
            </w:r>
            <w:r>
              <w:rPr>
                <w:rFonts w:hint="default"/>
              </w:rPr>
              <w:t>接口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5.8节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RS485</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3</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最大波特率支持</w:t>
            </w:r>
            <w:r>
              <w:rPr>
                <w:rFonts w:hint="default"/>
              </w:rPr>
              <w:t>115200bps/隔离</w:t>
            </w:r>
            <w:r>
              <w:rPr>
                <w:rFonts w:hint="eastAsia"/>
              </w:rPr>
              <w:t>/</w:t>
            </w:r>
            <w:r>
              <w:rPr>
                <w:rFonts w:hint="eastAsia"/>
                <w:color w:val="FF0000"/>
              </w:rPr>
              <w:t>终端电阻</w:t>
            </w:r>
            <w:r>
              <w:rPr>
                <w:rFonts w:hint="default"/>
                <w:color w:val="FF0000"/>
              </w:rPr>
              <w:t>120</w:t>
            </w:r>
            <w:r>
              <w:rPr>
                <w:rFonts w:hint="eastAsia"/>
                <w:color w:val="FF0000"/>
              </w:rPr>
              <w:t>Ω</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14</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存储卡接口</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TF卡/SD卡</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5.6节</w:t>
            </w:r>
          </w:p>
        </w:tc>
      </w:tr>
    </w:tbl>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9</w:t>
      </w:r>
      <w:r>
        <w:rPr>
          <w:color w:val="FF0000"/>
        </w:rPr>
        <w:fldChar w:fldCharType="end"/>
      </w:r>
      <w:r>
        <w:rPr>
          <w:rFonts w:hint="eastAsia"/>
          <w:color w:val="FF0000"/>
        </w:rPr>
        <w:t xml:space="preserve"> KPC18-02(2.02.25.0333)</w:t>
      </w:r>
      <w:r>
        <w:rPr>
          <w:rFonts w:hint="eastAsia"/>
          <w:highlight w:val="cyan"/>
        </w:rPr>
        <w:t>及KPC</w:t>
      </w:r>
      <w:r>
        <w:rPr>
          <w:highlight w:val="cyan"/>
        </w:rPr>
        <w:t>18-02/A</w:t>
      </w:r>
      <w:r>
        <w:rPr>
          <w:rFonts w:hint="eastAsia"/>
          <w:highlight w:val="cyan"/>
        </w:rPr>
        <w:t>（2</w:t>
      </w:r>
      <w:r>
        <w:rPr>
          <w:highlight w:val="cyan"/>
        </w:rPr>
        <w:t>.02.25.0345</w:t>
      </w:r>
      <w:r>
        <w:rPr>
          <w:rFonts w:hint="eastAsia"/>
          <w:highlight w:val="cyan"/>
        </w:rPr>
        <w:t>）</w:t>
      </w:r>
      <w:r>
        <w:rPr>
          <w:rFonts w:hint="eastAsia"/>
          <w:color w:val="FF0000"/>
        </w:rPr>
        <w:t>型控制器</w:t>
      </w:r>
      <w:r>
        <w:rPr>
          <w:color w:val="FF0000"/>
        </w:rPr>
        <w:t>支持的资源配置</w:t>
      </w:r>
    </w:p>
    <w:tbl>
      <w:tblPr>
        <w:tblStyle w:val="61"/>
        <w:tblW w:w="8647"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708"/>
        <w:gridCol w:w="439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pct10" w:color="auto" w:fill="auto"/>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序号</w:t>
            </w:r>
          </w:p>
        </w:tc>
        <w:tc>
          <w:tcPr>
            <w:tcW w:w="1701" w:type="dxa"/>
            <w:shd w:val="pct10" w:color="auto" w:fill="auto"/>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资源类型</w:t>
            </w:r>
          </w:p>
        </w:tc>
        <w:tc>
          <w:tcPr>
            <w:tcW w:w="708" w:type="dxa"/>
            <w:shd w:val="pct10" w:color="auto" w:fill="auto"/>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数量</w:t>
            </w:r>
          </w:p>
        </w:tc>
        <w:tc>
          <w:tcPr>
            <w:tcW w:w="4395" w:type="dxa"/>
            <w:shd w:val="pct10" w:color="auto" w:fill="auto"/>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规格参数</w:t>
            </w:r>
          </w:p>
        </w:tc>
        <w:tc>
          <w:tcPr>
            <w:tcW w:w="1134" w:type="dxa"/>
            <w:shd w:val="pct10" w:color="auto" w:fill="auto"/>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电源输入</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16～30V</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2</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SRAM</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≥128K Byte</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3</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PC104</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支持西门子PC104-BG Std TCN；</w:t>
            </w:r>
          </w:p>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D114L；RS485；HDLC；CANOpen；ETH；</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5.1</w:t>
            </w:r>
            <w:r>
              <w:rPr>
                <w:rFonts w:hint="eastAsia"/>
                <w:color w:val="FF0000"/>
              </w:rPr>
              <w:t>1</w:t>
            </w:r>
            <w:r>
              <w:rPr>
                <w:rFonts w:hint="default"/>
                <w:color w:val="FF0000"/>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4</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数字量输入</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40</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DC24V /隔离</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 xml:space="preserve">5.2节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单路数字量输出</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2</w:t>
            </w:r>
            <w:r>
              <w:rPr>
                <w:rFonts w:hint="eastAsia"/>
                <w:color w:val="FF0000"/>
              </w:rPr>
              <w:t>2</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DC24V/</w:t>
            </w:r>
            <w:r>
              <w:rPr>
                <w:rFonts w:hint="eastAsia"/>
                <w:color w:val="0000FF"/>
              </w:rPr>
              <w:t>1</w:t>
            </w:r>
            <w:r>
              <w:rPr>
                <w:rFonts w:hint="default"/>
                <w:color w:val="0000FF"/>
              </w:rPr>
              <w:t>A</w:t>
            </w:r>
            <w:r>
              <w:rPr>
                <w:rFonts w:hint="default"/>
                <w:color w:val="FF0000"/>
              </w:rPr>
              <w:t xml:space="preserve">  DC110V/0.2A/隔离</w:t>
            </w:r>
            <w:r>
              <w:rPr>
                <w:rFonts w:hint="eastAsia"/>
                <w:color w:val="FF0000"/>
              </w:rPr>
              <w:t>(共正)</w:t>
            </w:r>
          </w:p>
          <w:p>
            <w:pPr>
              <w:pStyle w:val="156"/>
              <w:keepNext w:val="0"/>
              <w:keepLines w:val="0"/>
              <w:widowControl w:val="0"/>
              <w:suppressLineNumbers w:val="0"/>
              <w:spacing w:beforeAutospacing="0" w:after="0" w:afterAutospacing="0"/>
              <w:ind w:left="0" w:right="0"/>
              <w:rPr>
                <w:rFonts w:hint="default"/>
                <w:color w:val="FF0000"/>
              </w:rPr>
            </w:pPr>
            <w:r>
              <w:rPr>
                <w:rFonts w:hint="eastAsia"/>
                <w:color w:val="0000FF"/>
              </w:rPr>
              <w:t>其中2路单独设置1个COM端</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eastAsia"/>
                <w:color w:val="FF0000"/>
              </w:rPr>
              <w:t>6</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双路数字量输出</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4</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DC24V/</w:t>
            </w:r>
            <w:r>
              <w:rPr>
                <w:rFonts w:hint="eastAsia"/>
                <w:color w:val="0000FF"/>
              </w:rPr>
              <w:t>1</w:t>
            </w:r>
            <w:r>
              <w:rPr>
                <w:rFonts w:hint="default"/>
                <w:color w:val="0000FF"/>
              </w:rPr>
              <w:t>A</w:t>
            </w:r>
            <w:r>
              <w:rPr>
                <w:rFonts w:hint="default"/>
                <w:color w:val="FF0000"/>
              </w:rPr>
              <w:t xml:space="preserve">  DC110V/0.2A/隔离</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eastAsia"/>
                <w:color w:val="FF0000"/>
              </w:rPr>
              <w:t>7</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固态继电器输出</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eastAsia"/>
                <w:color w:val="FF0000"/>
              </w:rPr>
              <w:t>6</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DC24V/</w:t>
            </w:r>
            <w:r>
              <w:rPr>
                <w:rFonts w:hint="eastAsia"/>
                <w:color w:val="0000FF"/>
              </w:rPr>
              <w:t>1</w:t>
            </w:r>
            <w:r>
              <w:rPr>
                <w:rFonts w:hint="default"/>
                <w:color w:val="0000FF"/>
              </w:rPr>
              <w:t>A</w:t>
            </w:r>
            <w:r>
              <w:rPr>
                <w:rFonts w:hint="default"/>
                <w:color w:val="FF0000"/>
              </w:rPr>
              <w:t xml:space="preserve"> /隔离</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8</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模拟量输入</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4</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NTC10K，-50～+100</w:t>
            </w:r>
            <w:r>
              <w:rPr>
                <w:rFonts w:hint="eastAsia" w:cs="宋体"/>
                <w:color w:val="FF0000"/>
              </w:rPr>
              <w:t>℃</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9</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Flash存储器</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1Gbit NAND</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10</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实时时钟</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RTC 32位*秒 10天</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11</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以太网</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10/100M自适应</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5.7</w:t>
            </w:r>
            <w:r>
              <w:rPr>
                <w:rFonts w:hint="eastAsia"/>
                <w:color w:val="FF0000"/>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12</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eastAsia"/>
                <w:color w:val="FF0000"/>
              </w:rPr>
              <w:t>隔离</w:t>
            </w:r>
            <w:r>
              <w:rPr>
                <w:rFonts w:hint="default"/>
                <w:color w:val="FF0000"/>
              </w:rPr>
              <w:t>SWD接口</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连接器</w:t>
            </w:r>
            <w:r>
              <w:rPr>
                <w:rFonts w:hint="eastAsia"/>
                <w:color w:val="FF0000"/>
              </w:rPr>
              <w:t>端子座</w:t>
            </w:r>
            <w:r>
              <w:rPr>
                <w:rFonts w:hint="default"/>
                <w:color w:val="FF0000"/>
              </w:rPr>
              <w:t>接口</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5.8节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13</w:t>
            </w:r>
          </w:p>
        </w:tc>
        <w:tc>
          <w:tcPr>
            <w:tcW w:w="1701"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RS485</w:t>
            </w:r>
          </w:p>
        </w:tc>
        <w:tc>
          <w:tcPr>
            <w:tcW w:w="708"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3</w:t>
            </w:r>
          </w:p>
        </w:tc>
        <w:tc>
          <w:tcPr>
            <w:tcW w:w="4395"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eastAsia"/>
                <w:color w:val="FF0000"/>
              </w:rPr>
              <w:t>最大波特率支持</w:t>
            </w:r>
            <w:r>
              <w:rPr>
                <w:rFonts w:hint="default"/>
                <w:color w:val="FF0000"/>
              </w:rPr>
              <w:t>115200bps/隔离</w:t>
            </w:r>
            <w:r>
              <w:rPr>
                <w:rFonts w:hint="eastAsia"/>
                <w:color w:val="FF0000"/>
              </w:rPr>
              <w:t>/终端电阻</w:t>
            </w:r>
            <w:r>
              <w:rPr>
                <w:rFonts w:hint="default"/>
                <w:color w:val="FF0000"/>
              </w:rPr>
              <w:t>120</w:t>
            </w:r>
            <w:r>
              <w:rPr>
                <w:rFonts w:hint="eastAsia"/>
                <w:color w:val="FF0000"/>
              </w:rPr>
              <w:t>Ω</w:t>
            </w:r>
          </w:p>
        </w:tc>
        <w:tc>
          <w:tcPr>
            <w:tcW w:w="1134" w:type="dxa"/>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Borders>
              <w:bottom w:val="single" w:color="auto" w:sz="4" w:space="0"/>
            </w:tcBorders>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14</w:t>
            </w:r>
          </w:p>
        </w:tc>
        <w:tc>
          <w:tcPr>
            <w:tcW w:w="1701" w:type="dxa"/>
            <w:tcBorders>
              <w:bottom w:val="single" w:color="auto" w:sz="4" w:space="0"/>
            </w:tcBorders>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存储卡接口</w:t>
            </w:r>
          </w:p>
        </w:tc>
        <w:tc>
          <w:tcPr>
            <w:tcW w:w="708" w:type="dxa"/>
            <w:tcBorders>
              <w:bottom w:val="single" w:color="auto" w:sz="4" w:space="0"/>
            </w:tcBorders>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1</w:t>
            </w:r>
          </w:p>
        </w:tc>
        <w:tc>
          <w:tcPr>
            <w:tcW w:w="4395" w:type="dxa"/>
            <w:tcBorders>
              <w:bottom w:val="single" w:color="auto" w:sz="4" w:space="0"/>
            </w:tcBorders>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TF卡/SD卡</w:t>
            </w:r>
          </w:p>
        </w:tc>
        <w:tc>
          <w:tcPr>
            <w:tcW w:w="1134" w:type="dxa"/>
            <w:tcBorders>
              <w:bottom w:val="single" w:color="auto" w:sz="4" w:space="0"/>
            </w:tcBorders>
            <w:vAlign w:val="center"/>
          </w:tcPr>
          <w:p>
            <w:pPr>
              <w:pStyle w:val="156"/>
              <w:keepNext w:val="0"/>
              <w:keepLines w:val="0"/>
              <w:widowControl w:val="0"/>
              <w:suppressLineNumbers w:val="0"/>
              <w:spacing w:beforeAutospacing="0" w:after="0" w:afterAutospacing="0"/>
              <w:ind w:left="0" w:right="0"/>
              <w:rPr>
                <w:rFonts w:hint="default"/>
                <w:color w:val="FF0000"/>
              </w:rPr>
            </w:pPr>
            <w:r>
              <w:rPr>
                <w:rFonts w:hint="default"/>
                <w:color w:val="FF0000"/>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shd w:val="clear" w:color="auto" w:fill="00FFFF"/>
            <w:vAlign w:val="center"/>
          </w:tcPr>
          <w:p>
            <w:pPr>
              <w:pStyle w:val="156"/>
              <w:keepNext w:val="0"/>
              <w:keepLines w:val="0"/>
              <w:widowControl w:val="0"/>
              <w:suppressLineNumbers w:val="0"/>
              <w:spacing w:beforeAutospacing="0" w:after="0" w:afterAutospacing="0"/>
              <w:ind w:left="0" w:right="0"/>
              <w:rPr>
                <w:rFonts w:hint="default"/>
              </w:rPr>
            </w:pPr>
            <w:r>
              <w:rPr>
                <w:rFonts w:hint="eastAsia"/>
              </w:rPr>
              <w:t>1</w:t>
            </w:r>
            <w:r>
              <w:rPr>
                <w:rFonts w:hint="default"/>
              </w:rPr>
              <w:t>5</w:t>
            </w:r>
          </w:p>
        </w:tc>
        <w:tc>
          <w:tcPr>
            <w:tcW w:w="1701" w:type="dxa"/>
            <w:shd w:val="clear" w:color="auto" w:fill="00FFFF"/>
            <w:vAlign w:val="center"/>
          </w:tcPr>
          <w:p>
            <w:pPr>
              <w:pStyle w:val="156"/>
              <w:keepNext w:val="0"/>
              <w:keepLines w:val="0"/>
              <w:widowControl w:val="0"/>
              <w:suppressLineNumbers w:val="0"/>
              <w:spacing w:beforeAutospacing="0" w:after="0" w:afterAutospacing="0"/>
              <w:ind w:left="0" w:right="0"/>
              <w:rPr>
                <w:rFonts w:hint="default"/>
              </w:rPr>
            </w:pPr>
            <w:r>
              <w:rPr>
                <w:rFonts w:hint="eastAsia"/>
              </w:rPr>
              <w:t>CAN</w:t>
            </w:r>
          </w:p>
        </w:tc>
        <w:tc>
          <w:tcPr>
            <w:tcW w:w="708" w:type="dxa"/>
            <w:shd w:val="clear" w:color="auto" w:fill="00FFFF"/>
            <w:vAlign w:val="center"/>
          </w:tcPr>
          <w:p>
            <w:pPr>
              <w:pStyle w:val="156"/>
              <w:keepNext w:val="0"/>
              <w:keepLines w:val="0"/>
              <w:widowControl w:val="0"/>
              <w:suppressLineNumbers w:val="0"/>
              <w:spacing w:beforeAutospacing="0" w:after="0" w:afterAutospacing="0"/>
              <w:ind w:left="0" w:right="0"/>
              <w:rPr>
                <w:rFonts w:hint="default"/>
              </w:rPr>
            </w:pPr>
            <w:r>
              <w:rPr>
                <w:rFonts w:hint="eastAsia"/>
              </w:rPr>
              <w:t>2</w:t>
            </w:r>
          </w:p>
        </w:tc>
        <w:tc>
          <w:tcPr>
            <w:tcW w:w="4395" w:type="dxa"/>
            <w:shd w:val="clear" w:color="auto" w:fill="00FFFF"/>
            <w:vAlign w:val="center"/>
          </w:tcPr>
          <w:p>
            <w:pPr>
              <w:pStyle w:val="156"/>
              <w:keepNext w:val="0"/>
              <w:keepLines w:val="0"/>
              <w:widowControl w:val="0"/>
              <w:suppressLineNumbers w:val="0"/>
              <w:spacing w:beforeAutospacing="0" w:after="0" w:afterAutospacing="0"/>
              <w:ind w:left="0" w:right="0"/>
              <w:jc w:val="left"/>
              <w:rPr>
                <w:rFonts w:hint="default"/>
              </w:rPr>
            </w:pPr>
            <w:r>
              <w:rPr>
                <w:rFonts w:hint="eastAsia"/>
              </w:rPr>
              <w:t>最大波特率支持</w:t>
            </w:r>
            <w:r>
              <w:rPr>
                <w:rFonts w:hint="default"/>
              </w:rPr>
              <w:t>1Mbps</w:t>
            </w:r>
            <w:r>
              <w:rPr>
                <w:rFonts w:hint="eastAsia"/>
              </w:rPr>
              <w:t>/隔离/终端电阻</w:t>
            </w:r>
            <w:r>
              <w:rPr>
                <w:rFonts w:hint="default"/>
              </w:rPr>
              <w:t>120</w:t>
            </w:r>
            <w:r>
              <w:rPr>
                <w:rFonts w:hint="eastAsia"/>
              </w:rPr>
              <w:t>Ω</w:t>
            </w:r>
            <w:r>
              <w:rPr>
                <w:rFonts w:hint="eastAsia"/>
                <w:b/>
              </w:rPr>
              <w:t>（仅</w:t>
            </w:r>
            <w:r>
              <w:rPr>
                <w:rFonts w:hint="default"/>
                <w:b/>
              </w:rPr>
              <w:t>KPC18-02/A</w:t>
            </w:r>
            <w:r>
              <w:rPr>
                <w:rFonts w:hint="eastAsia"/>
                <w:b/>
              </w:rPr>
              <w:t>：2</w:t>
            </w:r>
            <w:r>
              <w:rPr>
                <w:rFonts w:hint="default"/>
                <w:b/>
              </w:rPr>
              <w:t>.02.25.0345</w:t>
            </w:r>
            <w:r>
              <w:rPr>
                <w:rFonts w:hint="eastAsia"/>
                <w:b/>
              </w:rPr>
              <w:t>支持CAN）</w:t>
            </w:r>
          </w:p>
        </w:tc>
        <w:tc>
          <w:tcPr>
            <w:tcW w:w="1134" w:type="dxa"/>
            <w:shd w:val="clear" w:color="auto" w:fill="00FFFF"/>
            <w:vAlign w:val="center"/>
          </w:tcPr>
          <w:p>
            <w:pPr>
              <w:pStyle w:val="156"/>
              <w:keepNext w:val="0"/>
              <w:keepLines w:val="0"/>
              <w:widowControl w:val="0"/>
              <w:suppressLineNumbers w:val="0"/>
              <w:spacing w:beforeAutospacing="0" w:after="0" w:afterAutospacing="0"/>
              <w:ind w:left="0" w:right="0"/>
              <w:rPr>
                <w:rFonts w:hint="default"/>
              </w:rPr>
            </w:pPr>
            <w:r>
              <w:rPr>
                <w:rFonts w:hint="eastAsia"/>
              </w:rPr>
              <w:t>5.10节</w:t>
            </w:r>
          </w:p>
        </w:tc>
      </w:tr>
    </w:tbl>
    <w:p>
      <w:pPr>
        <w:pStyle w:val="16"/>
        <w:ind w:firstLine="400"/>
        <w:jc w:val="center"/>
        <w:rPr>
          <w:color w:val="2F5597" w:themeColor="accent5" w:themeShade="BF"/>
        </w:rPr>
      </w:pPr>
      <w:r>
        <w:rPr>
          <w:rFonts w:hint="eastAsia"/>
          <w:color w:val="2F5597" w:themeColor="accent5" w:themeShade="BF"/>
        </w:rPr>
        <w:t xml:space="preserve">表 </w:t>
      </w:r>
      <w:r>
        <w:rPr>
          <w:color w:val="2F5597" w:themeColor="accent5" w:themeShade="BF"/>
        </w:rPr>
        <w:fldChar w:fldCharType="begin"/>
      </w:r>
      <w:r>
        <w:rPr>
          <w:color w:val="2F5597" w:themeColor="accent5" w:themeShade="BF"/>
        </w:rPr>
        <w:instrText xml:space="preserve"> </w:instrText>
      </w:r>
      <w:r>
        <w:rPr>
          <w:rFonts w:hint="eastAsia"/>
          <w:color w:val="2F5597" w:themeColor="accent5" w:themeShade="BF"/>
        </w:rPr>
        <w:instrText xml:space="preserve">SEQ 表 \* ARABIC</w:instrText>
      </w:r>
      <w:r>
        <w:rPr>
          <w:color w:val="2F5597" w:themeColor="accent5" w:themeShade="BF"/>
        </w:rPr>
        <w:instrText xml:space="preserve"> </w:instrText>
      </w:r>
      <w:r>
        <w:rPr>
          <w:color w:val="2F5597" w:themeColor="accent5" w:themeShade="BF"/>
        </w:rPr>
        <w:fldChar w:fldCharType="separate"/>
      </w:r>
      <w:r>
        <w:rPr>
          <w:rFonts w:hint="eastAsia"/>
          <w:color w:val="2F5597" w:themeColor="accent5" w:themeShade="BF"/>
        </w:rPr>
        <w:t>10</w:t>
      </w:r>
      <w:r>
        <w:rPr>
          <w:color w:val="2F5597" w:themeColor="accent5" w:themeShade="BF"/>
        </w:rPr>
        <w:fldChar w:fldCharType="end"/>
      </w:r>
      <w:r>
        <w:rPr>
          <w:rFonts w:hint="eastAsia"/>
          <w:color w:val="2F5597" w:themeColor="accent5" w:themeShade="BF"/>
        </w:rPr>
        <w:t xml:space="preserve"> KPC18-02(2.02.25.0334)型控制器</w:t>
      </w:r>
      <w:r>
        <w:rPr>
          <w:color w:val="2F5597" w:themeColor="accent5" w:themeShade="BF"/>
        </w:rPr>
        <w:t>支持的资源配置</w:t>
      </w:r>
    </w:p>
    <w:tbl>
      <w:tblPr>
        <w:tblStyle w:val="60"/>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32"/>
        <w:gridCol w:w="708"/>
        <w:gridCol w:w="40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序号</w:t>
            </w:r>
          </w:p>
        </w:tc>
        <w:tc>
          <w:tcPr>
            <w:tcW w:w="1732"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资源类型</w:t>
            </w:r>
          </w:p>
        </w:tc>
        <w:tc>
          <w:tcPr>
            <w:tcW w:w="708"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数量</w:t>
            </w:r>
          </w:p>
        </w:tc>
        <w:tc>
          <w:tcPr>
            <w:tcW w:w="4014"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规格参数</w:t>
            </w:r>
          </w:p>
        </w:tc>
        <w:tc>
          <w:tcPr>
            <w:tcW w:w="1371"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电源输入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16～30V</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SRAM</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w:t>
            </w:r>
            <w:r>
              <w:rPr>
                <w:rFonts w:hint="eastAsia"/>
                <w:color w:val="FF0000"/>
              </w:rPr>
              <w:t>256</w:t>
            </w:r>
            <w:r>
              <w:rPr>
                <w:rFonts w:hint="default"/>
                <w:color w:val="FF0000"/>
              </w:rPr>
              <w:t>K Byte</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PC104</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firstLine="360"/>
              <w:rPr>
                <w:rFonts w:hint="default"/>
                <w:color w:val="FF0000"/>
              </w:rPr>
            </w:pPr>
            <w:r>
              <w:rPr>
                <w:rFonts w:hint="default"/>
                <w:color w:val="FF0000"/>
              </w:rPr>
              <w:t>支持西门子PC104-BG Std TCN；</w:t>
            </w:r>
          </w:p>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D114L；RS485；HDLC；CANOpen；ETH；</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5.1</w:t>
            </w:r>
            <w:r>
              <w:rPr>
                <w:rFonts w:hint="eastAsia"/>
                <w:color w:val="FF0000"/>
              </w:rPr>
              <w:t>1</w:t>
            </w:r>
            <w:r>
              <w:rPr>
                <w:rFonts w:hint="default"/>
                <w:color w:val="FF0000"/>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4</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数字量输入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40</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DC24V /隔离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 xml:space="preserve">5.2节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单路数字量输出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2</w:t>
            </w:r>
            <w:r>
              <w:rPr>
                <w:rFonts w:hint="eastAsia"/>
                <w:color w:val="FF0000"/>
              </w:rPr>
              <w:t>2</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DC24V/</w:t>
            </w:r>
            <w:r>
              <w:rPr>
                <w:rFonts w:hint="eastAsia"/>
                <w:color w:val="0000FF"/>
              </w:rPr>
              <w:t>1</w:t>
            </w:r>
            <w:r>
              <w:rPr>
                <w:rFonts w:hint="default"/>
                <w:color w:val="0000FF"/>
              </w:rPr>
              <w:t>A</w:t>
            </w:r>
            <w:r>
              <w:rPr>
                <w:rFonts w:hint="default"/>
                <w:color w:val="FF0000"/>
              </w:rPr>
              <w:t xml:space="preserve"> DC110V/0.2A/隔离</w:t>
            </w:r>
            <w:r>
              <w:rPr>
                <w:rFonts w:hint="eastAsia"/>
                <w:color w:val="FF0000"/>
              </w:rPr>
              <w:t>(共正)</w:t>
            </w:r>
          </w:p>
          <w:p>
            <w:pPr>
              <w:pStyle w:val="156"/>
              <w:keepNext w:val="0"/>
              <w:keepLines w:val="0"/>
              <w:widowControl/>
              <w:suppressLineNumbers w:val="0"/>
              <w:spacing w:beforeAutospacing="0" w:after="0" w:afterAutospacing="0"/>
              <w:ind w:left="0" w:right="0"/>
              <w:rPr>
                <w:rFonts w:hint="default"/>
                <w:color w:val="FF0000"/>
              </w:rPr>
            </w:pPr>
            <w:r>
              <w:rPr>
                <w:rFonts w:hint="eastAsia"/>
                <w:color w:val="0000FF"/>
              </w:rPr>
              <w:t>其中2路单独设置1个COM端</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6</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双路数字量输出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DC24V/</w:t>
            </w:r>
            <w:r>
              <w:rPr>
                <w:rFonts w:hint="eastAsia"/>
                <w:color w:val="0000FF"/>
              </w:rPr>
              <w:t>1</w:t>
            </w:r>
            <w:r>
              <w:rPr>
                <w:rFonts w:hint="default"/>
                <w:color w:val="0000FF"/>
              </w:rPr>
              <w:t>A</w:t>
            </w:r>
            <w:r>
              <w:rPr>
                <w:rFonts w:hint="default"/>
                <w:color w:val="FF0000"/>
              </w:rPr>
              <w:t xml:space="preserve">  DC110V/0.2A/隔离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7</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固态继电器输出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6</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DC24V/</w:t>
            </w:r>
            <w:r>
              <w:rPr>
                <w:rFonts w:hint="eastAsia"/>
                <w:color w:val="0000FF"/>
              </w:rPr>
              <w:t>1</w:t>
            </w:r>
            <w:r>
              <w:rPr>
                <w:rFonts w:hint="default"/>
                <w:color w:val="0000FF"/>
              </w:rPr>
              <w:t>A</w:t>
            </w:r>
            <w:r>
              <w:rPr>
                <w:rFonts w:hint="default"/>
                <w:color w:val="FF0000"/>
              </w:rPr>
              <w:t xml:space="preserve"> /隔离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8</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NTC10K，-50～+100</w:t>
            </w:r>
            <w:r>
              <w:rPr>
                <w:rFonts w:hint="eastAsia" w:cs="宋体"/>
                <w:color w:val="FF0000"/>
              </w:rPr>
              <w:t>℃</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9</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Flash存储器</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8GB eMMC</w:t>
            </w:r>
            <w:r>
              <w:rPr>
                <w:rFonts w:hint="eastAsia"/>
                <w:color w:val="FF0000"/>
              </w:rPr>
              <w:t>（可扩充至</w:t>
            </w:r>
            <w:r>
              <w:rPr>
                <w:rFonts w:hint="default"/>
                <w:color w:val="FF0000"/>
              </w:rPr>
              <w:t>64GB</w:t>
            </w:r>
            <w:r>
              <w:rPr>
                <w:rFonts w:hint="eastAsia"/>
                <w:color w:val="FF0000"/>
              </w:rPr>
              <w:t>）</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10</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实时时钟</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RTC 32</w:t>
            </w:r>
            <w:r>
              <w:rPr>
                <w:rFonts w:hint="eastAsia"/>
                <w:color w:val="FF0000"/>
              </w:rPr>
              <w:t>位</w:t>
            </w:r>
            <w:r>
              <w:rPr>
                <w:rFonts w:hint="default"/>
                <w:color w:val="FF0000"/>
              </w:rPr>
              <w:t>*</w:t>
            </w:r>
            <w:r>
              <w:rPr>
                <w:rFonts w:hint="eastAsia"/>
                <w:color w:val="FF0000"/>
              </w:rPr>
              <w:t>秒</w:t>
            </w:r>
            <w:r>
              <w:rPr>
                <w:rFonts w:hint="default"/>
                <w:color w:val="FF0000"/>
              </w:rPr>
              <w:t xml:space="preserve"> 30</w:t>
            </w:r>
            <w:r>
              <w:rPr>
                <w:rFonts w:hint="eastAsia"/>
                <w:color w:val="FF0000"/>
              </w:rPr>
              <w:t>天</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以太网</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10/100M自适应</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5.7</w:t>
            </w:r>
            <w:r>
              <w:rPr>
                <w:rFonts w:hint="eastAsia"/>
                <w:color w:val="FF0000"/>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1</w:t>
            </w:r>
            <w:r>
              <w:rPr>
                <w:rFonts w:hint="eastAsia"/>
                <w:color w:val="FF0000"/>
              </w:rPr>
              <w:t>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RS485</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3</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jc w:val="left"/>
              <w:rPr>
                <w:rFonts w:hint="default"/>
                <w:color w:val="FF0000"/>
              </w:rPr>
            </w:pPr>
            <w:r>
              <w:rPr>
                <w:rFonts w:hint="eastAsia"/>
                <w:color w:val="FF0000"/>
              </w:rPr>
              <w:t>最大波特率支持</w:t>
            </w:r>
            <w:r>
              <w:rPr>
                <w:rFonts w:hint="default"/>
                <w:color w:val="FF0000"/>
              </w:rPr>
              <w:t>115200bps/隔离</w:t>
            </w:r>
            <w:r>
              <w:rPr>
                <w:rFonts w:hint="eastAsia"/>
                <w:color w:val="FF0000"/>
              </w:rPr>
              <w:t>/终端电阻</w:t>
            </w:r>
            <w:r>
              <w:rPr>
                <w:rFonts w:hint="default"/>
                <w:color w:val="FF0000"/>
              </w:rPr>
              <w:t>120</w:t>
            </w:r>
            <w:r>
              <w:rPr>
                <w:rFonts w:hint="eastAsia"/>
                <w:color w:val="FF0000"/>
              </w:rPr>
              <w:t>Ω</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5.9节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13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CAN</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2</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jc w:val="left"/>
              <w:rPr>
                <w:rFonts w:hint="default"/>
                <w:color w:val="FF0000"/>
              </w:rPr>
            </w:pPr>
            <w:r>
              <w:rPr>
                <w:rFonts w:hint="eastAsia"/>
                <w:color w:val="FF0000"/>
              </w:rPr>
              <w:t>最大波特率支持</w:t>
            </w:r>
            <w:r>
              <w:rPr>
                <w:rFonts w:hint="default"/>
                <w:color w:val="FF0000"/>
              </w:rPr>
              <w:t>1Mbps</w:t>
            </w:r>
            <w:r>
              <w:rPr>
                <w:rFonts w:hint="eastAsia"/>
                <w:color w:val="FF0000"/>
              </w:rPr>
              <w:t>/隔离/终端电阻</w:t>
            </w:r>
            <w:r>
              <w:rPr>
                <w:rFonts w:hint="default"/>
                <w:color w:val="FF0000"/>
              </w:rPr>
              <w:t>120</w:t>
            </w:r>
            <w:r>
              <w:rPr>
                <w:rFonts w:hint="eastAsia"/>
                <w:color w:val="FF0000"/>
              </w:rPr>
              <w:t>Ω</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5.10节</w:t>
            </w:r>
          </w:p>
        </w:tc>
      </w:tr>
    </w:tbl>
    <w:p>
      <w:pPr>
        <w:pStyle w:val="16"/>
        <w:ind w:firstLine="400"/>
        <w:jc w:val="center"/>
        <w:rPr>
          <w:color w:val="2F5597" w:themeColor="accent5" w:themeShade="BF"/>
        </w:rPr>
      </w:pPr>
      <w:r>
        <w:rPr>
          <w:rFonts w:hint="eastAsia"/>
          <w:color w:val="2F5597" w:themeColor="accent5" w:themeShade="BF"/>
        </w:rPr>
        <w:t xml:space="preserve">表 </w:t>
      </w:r>
      <w:r>
        <w:rPr>
          <w:color w:val="2F5597" w:themeColor="accent5" w:themeShade="BF"/>
        </w:rPr>
        <w:fldChar w:fldCharType="begin"/>
      </w:r>
      <w:r>
        <w:rPr>
          <w:color w:val="2F5597" w:themeColor="accent5" w:themeShade="BF"/>
        </w:rPr>
        <w:instrText xml:space="preserve"> </w:instrText>
      </w:r>
      <w:r>
        <w:rPr>
          <w:rFonts w:hint="eastAsia"/>
          <w:color w:val="2F5597" w:themeColor="accent5" w:themeShade="BF"/>
        </w:rPr>
        <w:instrText xml:space="preserve">SEQ 表 \* ARABIC</w:instrText>
      </w:r>
      <w:r>
        <w:rPr>
          <w:color w:val="2F5597" w:themeColor="accent5" w:themeShade="BF"/>
        </w:rPr>
        <w:instrText xml:space="preserve"> </w:instrText>
      </w:r>
      <w:r>
        <w:rPr>
          <w:color w:val="2F5597" w:themeColor="accent5" w:themeShade="BF"/>
        </w:rPr>
        <w:fldChar w:fldCharType="separate"/>
      </w:r>
      <w:r>
        <w:rPr>
          <w:rFonts w:hint="eastAsia"/>
          <w:color w:val="2F5597" w:themeColor="accent5" w:themeShade="BF"/>
        </w:rPr>
        <w:t>11</w:t>
      </w:r>
      <w:r>
        <w:rPr>
          <w:color w:val="2F5597" w:themeColor="accent5" w:themeShade="BF"/>
        </w:rPr>
        <w:fldChar w:fldCharType="end"/>
      </w:r>
      <w:r>
        <w:rPr>
          <w:rFonts w:hint="eastAsia"/>
          <w:color w:val="2F5597" w:themeColor="accent5" w:themeShade="BF"/>
        </w:rPr>
        <w:t xml:space="preserve"> KPC18-02(</w:t>
      </w:r>
      <w:r>
        <w:rPr>
          <w:color w:val="2F5597" w:themeColor="accent5" w:themeShade="BF"/>
        </w:rPr>
        <w:t>2.02.25.0339</w:t>
      </w:r>
      <w:r>
        <w:rPr>
          <w:rFonts w:hint="eastAsia"/>
          <w:color w:val="2F5597" w:themeColor="accent5" w:themeShade="BF"/>
        </w:rPr>
        <w:t>)型控制器</w:t>
      </w:r>
      <w:r>
        <w:rPr>
          <w:color w:val="2F5597" w:themeColor="accent5" w:themeShade="BF"/>
        </w:rPr>
        <w:t>支持的资源配置</w:t>
      </w:r>
    </w:p>
    <w:tbl>
      <w:tblPr>
        <w:tblStyle w:val="60"/>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32"/>
        <w:gridCol w:w="708"/>
        <w:gridCol w:w="40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序号</w:t>
            </w:r>
          </w:p>
        </w:tc>
        <w:tc>
          <w:tcPr>
            <w:tcW w:w="1732"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资源类型</w:t>
            </w:r>
          </w:p>
        </w:tc>
        <w:tc>
          <w:tcPr>
            <w:tcW w:w="708"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数量</w:t>
            </w:r>
          </w:p>
        </w:tc>
        <w:tc>
          <w:tcPr>
            <w:tcW w:w="4014"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规格参数</w:t>
            </w:r>
          </w:p>
        </w:tc>
        <w:tc>
          <w:tcPr>
            <w:tcW w:w="1371"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电源输入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16～30V</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SRAM</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≥128K Byte</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数字量输入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40</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DC24V /隔离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 xml:space="preserve">5.2节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4</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单路数字量输出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2</w:t>
            </w:r>
            <w:r>
              <w:rPr>
                <w:rFonts w:hint="eastAsia"/>
                <w:color w:val="2F5597" w:themeColor="accent5" w:themeShade="BF"/>
              </w:rPr>
              <w:t>2</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DC24V/</w:t>
            </w:r>
            <w:r>
              <w:rPr>
                <w:rFonts w:hint="eastAsia"/>
                <w:color w:val="2F5597" w:themeColor="accent5" w:themeShade="BF"/>
              </w:rPr>
              <w:t>1</w:t>
            </w:r>
            <w:r>
              <w:rPr>
                <w:rFonts w:hint="default"/>
                <w:color w:val="2F5597" w:themeColor="accent5" w:themeShade="BF"/>
              </w:rPr>
              <w:t>A  DC110V/0.2A/隔离</w:t>
            </w:r>
            <w:r>
              <w:rPr>
                <w:rFonts w:hint="eastAsia"/>
                <w:color w:val="2F5597" w:themeColor="accent5" w:themeShade="BF"/>
              </w:rPr>
              <w:t>(共正)</w:t>
            </w:r>
          </w:p>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eastAsia"/>
                <w:color w:val="2F5597" w:themeColor="accent5" w:themeShade="BF"/>
              </w:rPr>
              <w:t>其中2路单独设置1个COM端</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双路数字量输出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DC24V/</w:t>
            </w:r>
            <w:r>
              <w:rPr>
                <w:rFonts w:hint="eastAsia"/>
                <w:color w:val="2F5597" w:themeColor="accent5" w:themeShade="BF"/>
              </w:rPr>
              <w:t>1</w:t>
            </w:r>
            <w:r>
              <w:rPr>
                <w:rFonts w:hint="default"/>
                <w:color w:val="2F5597" w:themeColor="accent5" w:themeShade="BF"/>
              </w:rPr>
              <w:t>A  DC110V/0.2A/隔离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eastAsia"/>
                <w:color w:val="2F5597" w:themeColor="accent5" w:themeShade="BF"/>
              </w:rPr>
              <w:t>6</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固态继电器输出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eastAsia"/>
                <w:color w:val="2F5597" w:themeColor="accent5" w:themeShade="BF"/>
              </w:rPr>
              <w:t>6</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DC24V/</w:t>
            </w:r>
            <w:r>
              <w:rPr>
                <w:rFonts w:hint="eastAsia"/>
                <w:color w:val="2F5597" w:themeColor="accent5" w:themeShade="BF"/>
              </w:rPr>
              <w:t>1</w:t>
            </w:r>
            <w:r>
              <w:rPr>
                <w:rFonts w:hint="default"/>
                <w:color w:val="2F5597" w:themeColor="accent5" w:themeShade="BF"/>
              </w:rPr>
              <w:t>A /隔离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7</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NTC10K，-50～+100</w:t>
            </w:r>
            <w:r>
              <w:rPr>
                <w:rFonts w:hint="eastAsia" w:cs="宋体"/>
                <w:color w:val="2F5597" w:themeColor="accent5" w:themeShade="BF"/>
              </w:rPr>
              <w:t>℃</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8</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Flash存储器</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256MByte NAND</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9</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实时时钟</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RTC 32位*秒 30天</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10</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以太网</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10/100M自适应</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5.7</w:t>
            </w:r>
            <w:r>
              <w:rPr>
                <w:rFonts w:hint="eastAsia"/>
                <w:color w:val="2F5597" w:themeColor="accent5" w:themeShade="BF"/>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eastAsia"/>
                <w:color w:val="2F5597" w:themeColor="accent5" w:themeShade="BF"/>
              </w:rPr>
              <w:t>隔离</w:t>
            </w:r>
            <w:r>
              <w:rPr>
                <w:rFonts w:hint="default"/>
                <w:color w:val="2F5597" w:themeColor="accent5" w:themeShade="BF"/>
              </w:rPr>
              <w:t>SWD接口</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连接器</w:t>
            </w:r>
            <w:r>
              <w:rPr>
                <w:rFonts w:hint="eastAsia"/>
                <w:color w:val="2F5597" w:themeColor="accent5" w:themeShade="BF"/>
              </w:rPr>
              <w:t>端子座</w:t>
            </w:r>
            <w:r>
              <w:rPr>
                <w:rFonts w:hint="default"/>
                <w:color w:val="2F5597" w:themeColor="accent5" w:themeShade="BF"/>
              </w:rPr>
              <w:t>接口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5.8节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RS485</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3</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eastAsia"/>
                <w:color w:val="2F5597" w:themeColor="accent5" w:themeShade="BF"/>
              </w:rPr>
              <w:t>最大波特率支持</w:t>
            </w:r>
            <w:r>
              <w:rPr>
                <w:rFonts w:hint="default"/>
                <w:color w:val="2F5597" w:themeColor="accent5" w:themeShade="BF"/>
              </w:rPr>
              <w:t>115200bps/隔离</w:t>
            </w:r>
            <w:r>
              <w:rPr>
                <w:rFonts w:hint="eastAsia"/>
                <w:color w:val="2F5597" w:themeColor="accent5" w:themeShade="BF"/>
              </w:rPr>
              <w:t>/终端电阻</w:t>
            </w:r>
            <w:r>
              <w:rPr>
                <w:rFonts w:hint="default"/>
                <w:color w:val="2F5597" w:themeColor="accent5" w:themeShade="BF"/>
              </w:rPr>
              <w:t>120</w:t>
            </w:r>
            <w:r>
              <w:rPr>
                <w:rFonts w:hint="eastAsia"/>
                <w:color w:val="2F5597" w:themeColor="accent5" w:themeShade="BF"/>
              </w:rPr>
              <w:t>Ω</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存储卡接口</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TF卡/SD卡</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color w:val="2F5597" w:themeColor="accent5" w:themeShade="BF"/>
              </w:rPr>
            </w:pPr>
            <w:r>
              <w:rPr>
                <w:rFonts w:hint="default"/>
                <w:color w:val="2F5597" w:themeColor="accent5" w:themeShade="BF"/>
              </w:rPr>
              <w:t>5.6节</w:t>
            </w:r>
          </w:p>
        </w:tc>
      </w:tr>
    </w:tbl>
    <w:p>
      <w:pPr>
        <w:rPr>
          <w:color w:val="70AD47" w:themeColor="accent6"/>
          <w14:textFill>
            <w14:solidFill>
              <w14:schemeClr w14:val="accent6"/>
            </w14:solidFill>
          </w14:textFill>
        </w:rPr>
      </w:pPr>
      <w:r>
        <w:rPr>
          <w:color w:val="70AD47" w:themeColor="accent6"/>
          <w14:textFill>
            <w14:solidFill>
              <w14:schemeClr w14:val="accent6"/>
            </w14:solidFill>
          </w14:textFill>
        </w:rPr>
        <w:br w:type="page"/>
      </w:r>
    </w:p>
    <w:p>
      <w:pPr>
        <w:pStyle w:val="16"/>
        <w:bidi w:val="0"/>
        <w:jc w:val="center"/>
        <w:rPr>
          <w:color w:val="70AD47" w:themeColor="accent6"/>
          <w14:textFill>
            <w14:solidFill>
              <w14:schemeClr w14:val="accent6"/>
            </w14:solidFill>
          </w14:textFill>
        </w:rPr>
      </w:pPr>
      <w:r>
        <w:rPr>
          <w:color w:val="70AD47" w:themeColor="accent6"/>
          <w14:textFill>
            <w14:solidFill>
              <w14:schemeClr w14:val="accent6"/>
            </w14:solidFill>
          </w14:textFill>
        </w:rPr>
        <w:t xml:space="preserve">表 </w:t>
      </w:r>
      <w:r>
        <w:rPr>
          <w:color w:val="70AD47" w:themeColor="accent6"/>
          <w14:textFill>
            <w14:solidFill>
              <w14:schemeClr w14:val="accent6"/>
            </w14:solidFill>
          </w14:textFill>
        </w:rPr>
        <w:fldChar w:fldCharType="begin"/>
      </w:r>
      <w:r>
        <w:rPr>
          <w:color w:val="70AD47" w:themeColor="accent6"/>
          <w14:textFill>
            <w14:solidFill>
              <w14:schemeClr w14:val="accent6"/>
            </w14:solidFill>
          </w14:textFill>
        </w:rPr>
        <w:instrText xml:space="preserve"> SEQ 表 \* ARABIC </w:instrText>
      </w:r>
      <w:r>
        <w:rPr>
          <w:color w:val="70AD47" w:themeColor="accent6"/>
          <w14:textFill>
            <w14:solidFill>
              <w14:schemeClr w14:val="accent6"/>
            </w14:solidFill>
          </w14:textFill>
        </w:rPr>
        <w:fldChar w:fldCharType="separate"/>
      </w:r>
      <w:r>
        <w:rPr>
          <w:color w:val="70AD47" w:themeColor="accent6"/>
          <w14:textFill>
            <w14:solidFill>
              <w14:schemeClr w14:val="accent6"/>
            </w14:solidFill>
          </w14:textFill>
        </w:rPr>
        <w:t>12</w:t>
      </w:r>
      <w:r>
        <w:rPr>
          <w:color w:val="70AD47" w:themeColor="accent6"/>
          <w14:textFill>
            <w14:solidFill>
              <w14:schemeClr w14:val="accent6"/>
            </w14:solidFill>
          </w14:textFill>
        </w:rPr>
        <w:fldChar w:fldCharType="end"/>
      </w:r>
      <w:r>
        <w:rPr>
          <w:rFonts w:hint="eastAsia"/>
          <w:color w:val="70AD47" w:themeColor="accent6"/>
          <w:lang w:val="en-US" w:eastAsia="zh-CN"/>
          <w14:textFill>
            <w14:solidFill>
              <w14:schemeClr w14:val="accent6"/>
            </w14:solidFill>
          </w14:textFill>
        </w:rPr>
        <w:t xml:space="preserve"> KPC18-02/B(2.02.25.0441)型控制器支持的资源配置</w:t>
      </w:r>
    </w:p>
    <w:tbl>
      <w:tblPr>
        <w:tblStyle w:val="60"/>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32"/>
        <w:gridCol w:w="708"/>
        <w:gridCol w:w="40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pct10"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序号</w:t>
            </w:r>
          </w:p>
        </w:tc>
        <w:tc>
          <w:tcPr>
            <w:tcW w:w="1732" w:type="dxa"/>
            <w:tcBorders>
              <w:top w:val="single" w:color="auto" w:sz="4" w:space="0"/>
              <w:left w:val="single" w:color="auto" w:sz="4" w:space="0"/>
              <w:bottom w:val="single" w:color="auto" w:sz="4" w:space="0"/>
              <w:right w:val="single" w:color="auto" w:sz="4" w:space="0"/>
            </w:tcBorders>
            <w:shd w:val="pct10"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资源类型</w:t>
            </w:r>
          </w:p>
        </w:tc>
        <w:tc>
          <w:tcPr>
            <w:tcW w:w="708" w:type="dxa"/>
            <w:tcBorders>
              <w:top w:val="single" w:color="auto" w:sz="4" w:space="0"/>
              <w:left w:val="single" w:color="auto" w:sz="4" w:space="0"/>
              <w:bottom w:val="single" w:color="auto" w:sz="4" w:space="0"/>
              <w:right w:val="single" w:color="auto" w:sz="4" w:space="0"/>
            </w:tcBorders>
            <w:shd w:val="pct10"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数量</w:t>
            </w:r>
          </w:p>
        </w:tc>
        <w:tc>
          <w:tcPr>
            <w:tcW w:w="4014" w:type="dxa"/>
            <w:tcBorders>
              <w:top w:val="single" w:color="auto" w:sz="4" w:space="0"/>
              <w:left w:val="single" w:color="auto" w:sz="4" w:space="0"/>
              <w:bottom w:val="single" w:color="auto" w:sz="4" w:space="0"/>
              <w:right w:val="single" w:color="auto" w:sz="4" w:space="0"/>
            </w:tcBorders>
            <w:shd w:val="pct10"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规格参数</w:t>
            </w:r>
          </w:p>
        </w:tc>
        <w:tc>
          <w:tcPr>
            <w:tcW w:w="1371" w:type="dxa"/>
            <w:tcBorders>
              <w:top w:val="single" w:color="auto" w:sz="4" w:space="0"/>
              <w:left w:val="single" w:color="auto" w:sz="4" w:space="0"/>
              <w:bottom w:val="single" w:color="auto" w:sz="4" w:space="0"/>
              <w:right w:val="single" w:color="auto" w:sz="4" w:space="0"/>
            </w:tcBorders>
            <w:shd w:val="pct10"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电源输入</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16～30V</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2</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SRAM</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≥128K Byte</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3</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PC104</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支持西门子PC104-BG Std TCN；</w:t>
            </w:r>
          </w:p>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D114L；RS485；HDLC；CANOpen；ETH；</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default"/>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4</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数字量输入</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40</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DC24V /隔离</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5</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单路数字量输出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22</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default" w:eastAsia="宋体"/>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DC24V/1A  DC110V/0.2A/隔离(共正)</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6</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双路数字量输出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4</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DC24V/1A  DC110V/0.2A/隔离</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7</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固态继电器输出</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6</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DC24V/1A /隔离</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8</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4</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NTC10K，-50～+100℃</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9</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Flash存储器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1Gbit NAND</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10</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实时时钟</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RTC 32位*秒 30天</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11</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以太网</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10/100M自适应</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12</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隔离SWD接口</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连接器端子座接口</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5.8节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ascii="Calibri" w:hAnsi="Calibri" w:eastAsia="宋体" w:cs="Times New Roman"/>
                <w:color w:val="70AD47" w:themeColor="accent6"/>
                <w:kern w:val="2"/>
                <w:sz w:val="21"/>
                <w:szCs w:val="24"/>
                <w:lang w:val="en-US" w:eastAsia="zh-CN" w:bidi="ar-SA"/>
                <w14:textFill>
                  <w14:solidFill>
                    <w14:schemeClr w14:val="accent6"/>
                  </w14:solidFill>
                </w14:textFill>
              </w:rPr>
            </w:pPr>
            <w:r>
              <w:rPr>
                <w:rFonts w:hint="eastAsia"/>
                <w:color w:val="70AD47" w:themeColor="accent6"/>
                <w:lang w:val="en-US" w:eastAsia="zh-CN"/>
                <w14:textFill>
                  <w14:solidFill>
                    <w14:schemeClr w14:val="accent6"/>
                  </w14:solidFill>
                </w14:textFill>
              </w:rPr>
              <w:t>13</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RS485</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3</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最大波特率支持115200bps/隔离/终端电阻120Ω</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default"/>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14</w:t>
            </w:r>
          </w:p>
        </w:tc>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存储卡接口</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1</w:t>
            </w:r>
          </w:p>
        </w:tc>
        <w:tc>
          <w:tcPr>
            <w:tcW w:w="401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TF卡/SD卡</w:t>
            </w:r>
          </w:p>
        </w:tc>
        <w:tc>
          <w:tcPr>
            <w:tcW w:w="13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56"/>
              <w:keepNext w:val="0"/>
              <w:keepLines w:val="0"/>
              <w:widowControl/>
              <w:suppressLineNumbers w:val="0"/>
              <w:tabs>
                <w:tab w:val="left" w:pos="2927"/>
                <w:tab w:val="center" w:pos="4144"/>
              </w:tabs>
              <w:spacing w:beforeAutospacing="0" w:after="0" w:afterAutospacing="0"/>
              <w:ind w:left="0" w:right="0"/>
              <w:jc w:val="center"/>
              <w:rPr>
                <w:rFonts w:hint="eastAsia"/>
                <w:color w:val="70AD47" w:themeColor="accent6"/>
                <w:lang w:val="en-US" w:eastAsia="zh-CN"/>
                <w14:textFill>
                  <w14:solidFill>
                    <w14:schemeClr w14:val="accent6"/>
                  </w14:solidFill>
                </w14:textFill>
              </w:rPr>
            </w:pPr>
            <w:r>
              <w:rPr>
                <w:rFonts w:hint="eastAsia"/>
                <w:color w:val="70AD47" w:themeColor="accent6"/>
                <w:lang w:val="en-US" w:eastAsia="zh-CN"/>
                <w14:textFill>
                  <w14:solidFill>
                    <w14:schemeClr w14:val="accent6"/>
                  </w14:solidFill>
                </w14:textFill>
              </w:rPr>
              <w:t>5.6节</w:t>
            </w:r>
          </w:p>
        </w:tc>
      </w:tr>
    </w:tbl>
    <w:p>
      <w:pPr>
        <w:pStyle w:val="3"/>
        <w:tabs>
          <w:tab w:val="left" w:pos="0"/>
          <w:tab w:val="clear" w:pos="567"/>
        </w:tabs>
        <w:spacing w:before="120"/>
      </w:pPr>
      <w:bookmarkStart w:id="31" w:name="_Toc15726"/>
      <w:r>
        <w:rPr>
          <w:rFonts w:hint="eastAsia"/>
        </w:rPr>
        <w:t>控制器附件</w:t>
      </w:r>
      <w:bookmarkEnd w:id="31"/>
    </w:p>
    <w:p>
      <w:pPr>
        <w:ind w:firstLine="480"/>
      </w:pPr>
      <w:r>
        <w:rPr>
          <w:rFonts w:hint="eastAsia"/>
        </w:rPr>
        <w:t>控制器附件均采用密封袋包装，包装上粘贴附件型号（KPC18系列控制器附件）等标识，包装袋内同时含附件清单，包含附件插头的品牌、规格型号、数量等（</w:t>
      </w:r>
      <w:r>
        <w:rPr>
          <w:rFonts w:hint="eastAsia"/>
          <w:color w:val="FF0000"/>
        </w:rPr>
        <w:t>详见第2章供货范围</w:t>
      </w:r>
      <w:r>
        <w:rPr>
          <w:rFonts w:hint="eastAsia"/>
        </w:rPr>
        <w:t>）。</w:t>
      </w:r>
    </w:p>
    <w:p>
      <w:pPr>
        <w:ind w:firstLine="480"/>
      </w:pPr>
      <w:r>
        <w:rPr>
          <w:rFonts w:hint="eastAsia"/>
        </w:rPr>
        <w:t>控制器配套的端子头，均需要粘贴端子位号标识，端子标号一律正向粘贴(黑底白字)，与控制器面板上字体方向保持一致。</w:t>
      </w:r>
    </w:p>
    <w:p>
      <w:pPr>
        <w:ind w:firstLine="480"/>
      </w:pPr>
      <w:r>
        <w:rPr>
          <w:rFonts w:hint="eastAsia"/>
        </w:rPr>
        <w:t>引脚定义如下：</w:t>
      </w:r>
    </w:p>
    <w:p>
      <w:pPr>
        <w:pStyle w:val="192"/>
        <w:ind w:firstLine="720" w:firstLineChars="300"/>
      </w:pPr>
      <w:r>
        <w:object>
          <v:shape id="_x0000_i1025" o:spt="75" type="#_x0000_t75" style="height:57.75pt;width:160.75pt;" o:ole="t" filled="f" o:preferrelative="t" stroked="f" coordsize="21600,21600">
            <v:path/>
            <v:fill on="f" focussize="0,0"/>
            <v:stroke on="f" joinstyle="miter"/>
            <v:imagedata r:id="rId29" o:title=""/>
            <o:lock v:ext="edit" aspectratio="t"/>
            <w10:wrap type="none"/>
            <w10:anchorlock/>
          </v:shape>
          <o:OLEObject Type="Embed" ProgID="Visio.Drawing.11" ShapeID="_x0000_i1025" DrawAspect="Content" ObjectID="_1468075725" r:id="rId28">
            <o:LockedField>false</o:LockedField>
          </o:OLEObject>
        </w:object>
      </w:r>
      <w:r>
        <w:t xml:space="preserve">  </w:t>
      </w:r>
      <w:r>
        <w:object>
          <v:shape id="_x0000_i1026" o:spt="75" type="#_x0000_t75" style="height:57.75pt;width:148.2pt;" o:ole="t" filled="f" o:preferrelative="t" stroked="f" coordsize="21600,21600">
            <v:path/>
            <v:fill on="f" focussize="0,0"/>
            <v:stroke on="f" joinstyle="miter"/>
            <v:imagedata r:id="rId31" o:title=""/>
            <o:lock v:ext="edit" aspectratio="t"/>
            <w10:wrap type="none"/>
            <w10:anchorlock/>
          </v:shape>
          <o:OLEObject Type="Embed" ProgID="Visio.Drawing.11" ShapeID="_x0000_i1026" DrawAspect="Content" ObjectID="_1468075726" r:id="rId30">
            <o:LockedField>false</o:LockedField>
          </o:OLEObject>
        </w:object>
      </w:r>
    </w:p>
    <w:p>
      <w:pPr>
        <w:ind w:firstLine="480"/>
      </w:pPr>
      <w:r>
        <w:t xml:space="preserve">         输入端口定义                 输出端口定义</w:t>
      </w:r>
      <w:r>
        <w:rPr>
          <w:rFonts w:hint="eastAsia"/>
        </w:rPr>
        <w:t xml:space="preserve">     </w:t>
      </w:r>
    </w:p>
    <w:p>
      <w:pPr>
        <w:ind w:firstLine="480"/>
      </w:pPr>
      <w:r>
        <w:rPr>
          <w:rFonts w:hint="eastAsia"/>
        </w:rPr>
        <w:t xml:space="preserve">  </w:t>
      </w:r>
      <w:r>
        <w:drawing>
          <wp:anchor distT="0" distB="0" distL="114300" distR="114300" simplePos="0" relativeHeight="251665408" behindDoc="0" locked="0" layoutInCell="1" allowOverlap="1">
            <wp:simplePos x="0" y="0"/>
            <wp:positionH relativeFrom="column">
              <wp:posOffset>3687445</wp:posOffset>
            </wp:positionH>
            <wp:positionV relativeFrom="paragraph">
              <wp:posOffset>405765</wp:posOffset>
            </wp:positionV>
            <wp:extent cx="1019175" cy="1152525"/>
            <wp:effectExtent l="0" t="0" r="9525" b="952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a:extLst>
                        <a:ext uri="{28A0092B-C50C-407E-A947-70E740481C1C}">
                          <a14:useLocalDpi xmlns:a14="http://schemas.microsoft.com/office/drawing/2010/main" val="0"/>
                        </a:ext>
                      </a:extLst>
                    </a:blip>
                    <a:srcRect l="3247" r="7111"/>
                    <a:stretch>
                      <a:fillRect/>
                    </a:stretch>
                  </pic:blipFill>
                  <pic:spPr>
                    <a:xfrm>
                      <a:off x="0" y="0"/>
                      <a:ext cx="1019175" cy="115252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margin">
              <wp:align>center</wp:align>
            </wp:positionH>
            <wp:positionV relativeFrom="paragraph">
              <wp:posOffset>461010</wp:posOffset>
            </wp:positionV>
            <wp:extent cx="1028700" cy="1133475"/>
            <wp:effectExtent l="0" t="0" r="0" b="952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3">
                      <a:extLst>
                        <a:ext uri="{28A0092B-C50C-407E-A947-70E740481C1C}">
                          <a14:useLocalDpi xmlns:a14="http://schemas.microsoft.com/office/drawing/2010/main" val="0"/>
                        </a:ext>
                      </a:extLst>
                    </a:blip>
                    <a:srcRect l="3545" r="13046"/>
                    <a:stretch>
                      <a:fillRect/>
                    </a:stretch>
                  </pic:blipFill>
                  <pic:spPr>
                    <a:xfrm>
                      <a:off x="0" y="0"/>
                      <a:ext cx="1028700" cy="11334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343535</wp:posOffset>
            </wp:positionH>
            <wp:positionV relativeFrom="paragraph">
              <wp:posOffset>450850</wp:posOffset>
            </wp:positionV>
            <wp:extent cx="1581150" cy="1171575"/>
            <wp:effectExtent l="0" t="0" r="0" b="952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4">
                      <a:extLst>
                        <a:ext uri="{28A0092B-C50C-407E-A947-70E740481C1C}">
                          <a14:useLocalDpi xmlns:a14="http://schemas.microsoft.com/office/drawing/2010/main" val="0"/>
                        </a:ext>
                      </a:extLst>
                    </a:blip>
                    <a:srcRect r="7661"/>
                    <a:stretch>
                      <a:fillRect/>
                    </a:stretch>
                  </pic:blipFill>
                  <pic:spPr>
                    <a:xfrm>
                      <a:off x="0" y="0"/>
                      <a:ext cx="1581150" cy="1171575"/>
                    </a:xfrm>
                    <a:prstGeom prst="rect">
                      <a:avLst/>
                    </a:prstGeom>
                    <a:noFill/>
                    <a:ln>
                      <a:noFill/>
                    </a:ln>
                  </pic:spPr>
                </pic:pic>
              </a:graphicData>
            </a:graphic>
          </wp:anchor>
        </w:drawing>
      </w:r>
      <w:r>
        <w:t>端子标识粘贴示意：</w:t>
      </w:r>
    </w:p>
    <w:p>
      <w:pPr>
        <w:ind w:firstLine="480"/>
      </w:pPr>
      <w:r>
        <w:t xml:space="preserve">     3.5间隙插头                 5.08间隙插头</w:t>
      </w:r>
    </w:p>
    <w:p>
      <w:pPr>
        <w:ind w:firstLine="480"/>
      </w:pPr>
      <w:r>
        <w:t>注：</w:t>
      </w:r>
    </w:p>
    <w:p>
      <w:pPr>
        <w:ind w:firstLine="480"/>
      </w:pPr>
      <w:r>
        <w:t>1.近控制器边缘侧为A列，远控制器边缘侧为B列。</w:t>
      </w:r>
    </w:p>
    <w:p>
      <w:pPr>
        <w:ind w:firstLine="480"/>
      </w:pPr>
      <w:r>
        <w:t>2.端子标识</w:t>
      </w:r>
      <w:r>
        <w:rPr>
          <w:rFonts w:hint="eastAsia"/>
        </w:rPr>
        <w:t>粘贴</w:t>
      </w:r>
      <w:r>
        <w:t>依照以上图示：3.5间隙插头标识</w:t>
      </w:r>
      <w:r>
        <w:rPr>
          <w:rFonts w:hint="eastAsia"/>
        </w:rPr>
        <w:t>粘贴</w:t>
      </w:r>
      <w:r>
        <w:t>自右而左为1～n；5.08间隙插头标识</w:t>
      </w:r>
      <w:r>
        <w:rPr>
          <w:rFonts w:hint="eastAsia"/>
        </w:rPr>
        <w:t>粘贴</w:t>
      </w:r>
      <w:r>
        <w:t>自左而右为1～n。</w:t>
      </w:r>
    </w:p>
    <w:p>
      <w:pPr>
        <w:ind w:firstLine="480"/>
      </w:pPr>
      <w:r>
        <w:rPr>
          <w:rFonts w:hint="eastAsia"/>
        </w:rPr>
        <w:t>3. 数字量输出端子（间距5.08）A、B列需增加防插错装置。</w:t>
      </w:r>
    </w:p>
    <w:p>
      <w:pPr>
        <w:pStyle w:val="2"/>
        <w:spacing w:before="240" w:after="120"/>
      </w:pPr>
      <w:bookmarkStart w:id="32" w:name="_Toc9998"/>
      <w:r>
        <w:t>电路设计原则</w:t>
      </w:r>
      <w:bookmarkEnd w:id="32"/>
    </w:p>
    <w:p>
      <w:pPr>
        <w:ind w:firstLine="480"/>
      </w:pPr>
      <w:r>
        <w:t>数字量输入DC24V，模拟量输入的电压、电流、电阻型符合BOM兼容原则。</w:t>
      </w:r>
    </w:p>
    <w:p>
      <w:pPr>
        <w:pStyle w:val="3"/>
        <w:tabs>
          <w:tab w:val="left" w:pos="0"/>
          <w:tab w:val="clear" w:pos="567"/>
        </w:tabs>
        <w:spacing w:before="120"/>
      </w:pPr>
      <w:bookmarkStart w:id="33" w:name="_Toc15477"/>
      <w:r>
        <w:t>电源</w:t>
      </w:r>
      <w:bookmarkEnd w:id="33"/>
    </w:p>
    <w:p>
      <w:pPr>
        <w:pStyle w:val="4"/>
        <w:spacing w:before="24" w:after="24"/>
      </w:pPr>
      <w:bookmarkStart w:id="34" w:name="_Toc11549"/>
      <w:r>
        <w:rPr>
          <w:rFonts w:hint="eastAsia"/>
        </w:rPr>
        <w:t>DC24V输入</w:t>
      </w:r>
      <w:bookmarkEnd w:id="34"/>
    </w:p>
    <w:p>
      <w:pPr>
        <w:ind w:firstLine="480"/>
      </w:pPr>
      <w:r>
        <w:t>该控制器采用的24Vdc电源输入,电压波动范围为：16.8Vdc～30Vdc（符合EN50155标准），具有反接保护与过载保护。</w:t>
      </w:r>
    </w:p>
    <w:p>
      <w:pPr>
        <w:ind w:firstLine="480"/>
      </w:pPr>
      <w:r>
        <w:t>电源电路要求具有输入反极性保护功能，输入直流电源极性接反时，控制器不工作。</w:t>
      </w:r>
    </w:p>
    <w:p>
      <w:pPr>
        <w:ind w:firstLine="480"/>
      </w:pPr>
      <w:r>
        <w:t>输入电源电压的波动范围及控制器对应的工作状态定义如下：</w:t>
      </w:r>
    </w:p>
    <w:p>
      <w:pPr>
        <w:ind w:firstLine="480"/>
      </w:pPr>
      <w:r>
        <w:t>0.7Un～1.25Un(16.8Vdc～30Vdc)：电压正常波动范围；</w:t>
      </w:r>
    </w:p>
    <w:p>
      <w:pPr>
        <w:ind w:firstLine="480"/>
      </w:pPr>
      <w:r>
        <w:t>0.6Un～1.4Un(14.4Vdc～33.6Vdc)：如果波动持续时间不超过0.1S，控制器的功能不应改变；</w:t>
      </w:r>
    </w:p>
    <w:p>
      <w:pPr>
        <w:ind w:firstLine="480"/>
      </w:pPr>
      <w:r>
        <w:t>1.25Un～1.4Un(30Vdc～33.6Vdc):0.1S～1S以内，控制器可能不正常但不应导致控制器损坏；</w:t>
      </w:r>
    </w:p>
    <w:p>
      <w:pPr>
        <w:pStyle w:val="3"/>
        <w:tabs>
          <w:tab w:val="left" w:pos="0"/>
          <w:tab w:val="clear" w:pos="567"/>
        </w:tabs>
        <w:spacing w:before="120"/>
      </w:pPr>
      <w:bookmarkStart w:id="35" w:name="_Toc4477"/>
      <w:r>
        <w:t>数字量输入点规格</w:t>
      </w:r>
      <w:bookmarkEnd w:id="35"/>
    </w:p>
    <w:p>
      <w:pPr>
        <w:pStyle w:val="4"/>
        <w:spacing w:before="24" w:after="24"/>
      </w:pPr>
      <w:bookmarkStart w:id="36" w:name="_Toc9861"/>
      <w:r>
        <w:t>隔离要求</w:t>
      </w:r>
      <w:bookmarkEnd w:id="36"/>
    </w:p>
    <w:p>
      <w:pPr>
        <w:ind w:firstLine="480"/>
      </w:pPr>
      <w:r>
        <w:t>输入点到控制板逻辑电路之间采用光耦隔离。</w:t>
      </w:r>
    </w:p>
    <w:p>
      <w:pPr>
        <w:ind w:firstLine="480"/>
      </w:pPr>
      <w:r>
        <w:t>24Vdc输入：功能绝缘</w:t>
      </w:r>
      <w:r>
        <w:rPr>
          <w:rFonts w:hint="eastAsia"/>
        </w:rPr>
        <w:t>。</w:t>
      </w:r>
    </w:p>
    <w:p>
      <w:pPr>
        <w:pStyle w:val="4"/>
        <w:spacing w:before="24" w:after="24"/>
      </w:pPr>
      <w:bookmarkStart w:id="37" w:name="_Toc12641"/>
      <w:r>
        <w:t>输入类型</w:t>
      </w:r>
      <w:bookmarkEnd w:id="37"/>
    </w:p>
    <w:p>
      <w:pPr>
        <w:ind w:firstLine="480"/>
      </w:pPr>
      <w:r>
        <w:t>只支持源型输入。</w:t>
      </w:r>
    </w:p>
    <w:p>
      <w:pPr>
        <w:pStyle w:val="4"/>
        <w:spacing w:before="24" w:after="24"/>
      </w:pPr>
      <w:bookmarkStart w:id="38" w:name="_Toc16803"/>
      <w:r>
        <w:t>输入特性</w:t>
      </w:r>
      <w:bookmarkEnd w:id="38"/>
    </w:p>
    <w:p>
      <w:pPr>
        <w:ind w:firstLine="480"/>
      </w:pPr>
      <w:r>
        <w:t xml:space="preserve"> </w:t>
      </w:r>
      <w:r>
        <w:rPr>
          <w:rFonts w:hint="eastAsia"/>
        </w:rPr>
        <w:t>DC</w:t>
      </w:r>
      <w:r>
        <w:t>24V输入特性</w:t>
      </w:r>
    </w:p>
    <w:p>
      <w:pPr>
        <w:ind w:firstLine="480"/>
      </w:pPr>
      <w:r>
        <w:rPr>
          <w:rFonts w:hint="eastAsia"/>
        </w:rPr>
        <w:t>DC</w:t>
      </w:r>
      <w:r>
        <w:t>24V输入电压波动范围：±30%</w:t>
      </w:r>
    </w:p>
    <w:p>
      <w:pPr>
        <w:ind w:firstLine="480"/>
      </w:pPr>
      <w:r>
        <w:t>当输入信号电压在7.0V以下时判断为断开状态（OFF），当输入信号电压大于14.0V时判断为闭合状态（ON），在7.0V～14.0V之间其信号状态不确定。输入端设计的闭合状态输入信号的额定电压为DC24V，波动范围及控制器对应的工作状态定义参照控制器输入电源电压的定义。输入端在额定输入信号电压条件下，取用信号电流3.1mA</w:t>
      </w:r>
      <w:r>
        <w:rPr>
          <w:color w:val="FF0000"/>
        </w:rPr>
        <w:t>或</w:t>
      </w:r>
      <w:r>
        <w:rPr>
          <w:rFonts w:hint="eastAsia"/>
          <w:color w:val="FF0000"/>
        </w:rPr>
        <w:t>5mA</w:t>
      </w:r>
      <w:r>
        <w:t xml:space="preserve"> (典型值)。各点采用硬件滤波，滤波常数为10ms。</w:t>
      </w:r>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13</w:t>
      </w:r>
      <w:r>
        <w:rPr>
          <w:color w:val="FF0000"/>
        </w:rPr>
        <w:fldChar w:fldCharType="end"/>
      </w:r>
      <w:r>
        <w:rPr>
          <w:rFonts w:hint="eastAsia"/>
          <w:color w:val="FF0000"/>
        </w:rPr>
        <w:t xml:space="preserve"> 数字量输入相关参数</w:t>
      </w:r>
    </w:p>
    <w:tbl>
      <w:tblPr>
        <w:tblStyle w:val="60"/>
        <w:tblW w:w="765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
      <w:tblGrid>
        <w:gridCol w:w="1276"/>
        <w:gridCol w:w="2551"/>
        <w:gridCol w:w="38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3827" w:type="dxa"/>
            <w:gridSpan w:val="2"/>
            <w:tcBorders>
              <w:right w:val="single" w:color="auto" w:sz="6" w:space="0"/>
            </w:tcBorders>
            <w:shd w:val="pct20"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3827" w:type="dxa"/>
            <w:tcBorders>
              <w:left w:val="single" w:color="auto" w:sz="6" w:space="0"/>
              <w:right w:val="single" w:color="auto" w:sz="6" w:space="0"/>
            </w:tcBorders>
            <w:shd w:val="pct20"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普通输入端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restart"/>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输入端口</w:t>
            </w: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输入阻抗</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5.6k（最小）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3.1mA</w:t>
            </w:r>
            <w:r>
              <w:rPr>
                <w:rFonts w:hint="eastAsia"/>
                <w:color w:val="FF0000"/>
              </w:rPr>
              <w:t>/5mA</w:t>
            </w:r>
            <w:r>
              <w:rPr>
                <w:rFonts w:hint="default"/>
              </w:rPr>
              <w:t xml:space="preserve"> TYP.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ON 电压/电流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DC14V Min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trHeight w:val="405" w:hRule="atLeas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OFF 电压/电流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DC7V Max</w:t>
            </w:r>
          </w:p>
        </w:tc>
      </w:tr>
    </w:tbl>
    <w:p>
      <w:pPr>
        <w:pStyle w:val="3"/>
        <w:tabs>
          <w:tab w:val="left" w:pos="0"/>
          <w:tab w:val="clear" w:pos="567"/>
        </w:tabs>
        <w:spacing w:before="120"/>
      </w:pPr>
      <w:bookmarkStart w:id="39" w:name="_Toc4687"/>
      <w:r>
        <w:t>数字量输出点规格</w:t>
      </w:r>
      <w:bookmarkEnd w:id="39"/>
    </w:p>
    <w:p>
      <w:pPr>
        <w:pStyle w:val="4"/>
        <w:spacing w:before="24" w:after="24"/>
      </w:pPr>
      <w:bookmarkStart w:id="40" w:name="_Toc8224"/>
      <w:r>
        <w:t>输出隔离</w:t>
      </w:r>
      <w:bookmarkEnd w:id="40"/>
    </w:p>
    <w:p>
      <w:pPr>
        <w:ind w:firstLine="480"/>
      </w:pPr>
      <w:r>
        <w:t>输出与内部电路之间采用隔离设计。继电器输出的不同公共端的输出端之间采用加强绝缘隔离。</w:t>
      </w:r>
    </w:p>
    <w:p>
      <w:pPr>
        <w:pStyle w:val="4"/>
        <w:spacing w:before="24" w:after="24"/>
      </w:pPr>
      <w:bookmarkStart w:id="41" w:name="_Toc10907"/>
      <w:r>
        <w:t>输出特性</w:t>
      </w:r>
      <w:bookmarkEnd w:id="41"/>
    </w:p>
    <w:p>
      <w:pPr>
        <w:ind w:firstLine="480"/>
      </w:pPr>
      <w:r>
        <w:rPr>
          <w:rFonts w:hint="eastAsia"/>
        </w:rPr>
        <w:t>继电器输出</w:t>
      </w:r>
      <w:r>
        <w:t>:</w:t>
      </w:r>
    </w:p>
    <w:p>
      <w:pPr>
        <w:pStyle w:val="193"/>
        <w:numPr>
          <w:ilvl w:val="0"/>
          <w:numId w:val="12"/>
        </w:numPr>
        <w:ind w:firstLineChars="0"/>
      </w:pPr>
      <w:r>
        <w:t>输出端口为固态继电器时，输出有效（状态“1”）时为闭合状态；输出禁止（状态“0”）时为断开状态；依据输出点数配置，设有多个公共端COM，适应不同电位的控制电路。</w:t>
      </w:r>
    </w:p>
    <w:p>
      <w:pPr>
        <w:pStyle w:val="193"/>
        <w:numPr>
          <w:ilvl w:val="0"/>
          <w:numId w:val="12"/>
        </w:numPr>
        <w:ind w:firstLineChars="0"/>
      </w:pPr>
      <w:r>
        <w:t>单点额定电流为1A；每个公共端的总电流小于8A</w:t>
      </w:r>
      <w:r>
        <w:rPr>
          <w:rFonts w:hint="eastAsia"/>
        </w:rPr>
        <w:t>。</w:t>
      </w:r>
    </w:p>
    <w:p>
      <w:pPr>
        <w:pStyle w:val="193"/>
        <w:numPr>
          <w:ilvl w:val="0"/>
          <w:numId w:val="12"/>
        </w:numPr>
        <w:ind w:firstLineChars="0"/>
      </w:pPr>
      <w:r>
        <w:t>可外接负载10-110Vdc，单点额定电流为0.2A</w:t>
      </w:r>
      <w:r>
        <w:rPr>
          <w:rFonts w:hint="eastAsia"/>
        </w:rPr>
        <w:t>。</w:t>
      </w:r>
    </w:p>
    <w:p>
      <w:pPr>
        <w:pStyle w:val="193"/>
        <w:numPr>
          <w:ilvl w:val="0"/>
          <w:numId w:val="12"/>
        </w:numPr>
        <w:ind w:firstLineChars="0"/>
      </w:pPr>
      <w:r>
        <w:t>最小负载电流：10mA</w:t>
      </w:r>
      <w:r>
        <w:rPr>
          <w:rFonts w:hint="eastAsia"/>
        </w:rPr>
        <w:t>。</w:t>
      </w:r>
    </w:p>
    <w:p>
      <w:pPr>
        <w:pStyle w:val="193"/>
        <w:numPr>
          <w:ilvl w:val="0"/>
          <w:numId w:val="12"/>
        </w:numPr>
        <w:ind w:firstLineChars="0"/>
      </w:pPr>
      <w:r>
        <w:t>继电器的吸合与断开的时间小于</w:t>
      </w:r>
      <w:r>
        <w:rPr>
          <w:color w:val="0000FF"/>
        </w:rPr>
        <w:t>1</w:t>
      </w:r>
      <w:r>
        <w:rPr>
          <w:rFonts w:hint="eastAsia"/>
          <w:color w:val="0000FF"/>
        </w:rPr>
        <w:t>0</w:t>
      </w:r>
      <w:r>
        <w:rPr>
          <w:color w:val="0000FF"/>
        </w:rPr>
        <w:t>ms</w:t>
      </w:r>
      <w:r>
        <w:rPr>
          <w:rFonts w:hint="eastAsia"/>
        </w:rPr>
        <w:t>。</w:t>
      </w:r>
    </w:p>
    <w:p>
      <w:pPr>
        <w:pStyle w:val="4"/>
        <w:spacing w:before="24" w:after="24"/>
      </w:pPr>
      <w:bookmarkStart w:id="42" w:name="_Toc5393"/>
      <w:r>
        <w:t>安全输出</w:t>
      </w:r>
      <w:bookmarkEnd w:id="42"/>
    </w:p>
    <w:p>
      <w:pPr>
        <w:ind w:firstLine="480"/>
      </w:pPr>
      <w:r>
        <w:t>两路安全输出</w:t>
      </w:r>
      <w:r>
        <w:rPr>
          <w:rFonts w:hint="eastAsia"/>
        </w:rPr>
        <w:t>中1路为常开（安全输出正常为0，故障时为1），1路为常闭（安全输出正常为1，故障为0），控制器上电后延时≥1</w:t>
      </w:r>
      <w:r>
        <w:t>5S安全硬件保持正常输出</w:t>
      </w:r>
      <w:r>
        <w:rPr>
          <w:rFonts w:hint="eastAsia"/>
        </w:rPr>
        <w:t>。</w:t>
      </w:r>
    </w:p>
    <w:p>
      <w:pPr>
        <w:pStyle w:val="3"/>
        <w:tabs>
          <w:tab w:val="left" w:pos="0"/>
          <w:tab w:val="clear" w:pos="567"/>
        </w:tabs>
        <w:spacing w:before="120"/>
      </w:pPr>
      <w:bookmarkStart w:id="43" w:name="_Toc1770"/>
      <w:r>
        <w:t>模拟量输入规格</w:t>
      </w:r>
      <w:bookmarkEnd w:id="43"/>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14</w:t>
      </w:r>
      <w:r>
        <w:rPr>
          <w:color w:val="FF0000"/>
        </w:rPr>
        <w:fldChar w:fldCharType="end"/>
      </w:r>
      <w:r>
        <w:rPr>
          <w:rFonts w:hint="eastAsia"/>
          <w:color w:val="FF0000"/>
        </w:rPr>
        <w:t xml:space="preserve"> 模拟量输入相关参数</w:t>
      </w:r>
    </w:p>
    <w:tbl>
      <w:tblPr>
        <w:tblStyle w:val="60"/>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
        <w:gridCol w:w="1548"/>
        <w:gridCol w:w="3710"/>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0" w:type="dxa"/>
            <w:gridSpan w:val="3"/>
            <w:shd w:val="clear" w:color="auto" w:fill="C0C0C0"/>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6237" w:type="dxa"/>
            <w:gridSpan w:val="2"/>
            <w:shd w:val="clear" w:color="auto" w:fill="C0C0C0"/>
            <w:vAlign w:val="center"/>
          </w:tcPr>
          <w:p>
            <w:pPr>
              <w:pStyle w:val="156"/>
              <w:keepNext w:val="0"/>
              <w:keepLines w:val="0"/>
              <w:widowControl/>
              <w:suppressLineNumbers w:val="0"/>
              <w:spacing w:beforeAutospacing="0" w:after="0" w:afterAutospacing="0"/>
              <w:ind w:left="0" w:right="0"/>
              <w:rPr>
                <w:rFonts w:hint="default"/>
              </w:rPr>
            </w:pPr>
            <w:r>
              <w:rPr>
                <w:rFonts w:hint="default"/>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atLeast"/>
          <w:jc w:val="center"/>
        </w:trPr>
        <w:tc>
          <w:tcPr>
            <w:tcW w:w="862" w:type="dxa"/>
            <w:gridSpan w:val="2"/>
            <w:vMerge w:val="restart"/>
            <w:vAlign w:val="center"/>
          </w:tcPr>
          <w:p>
            <w:pPr>
              <w:pStyle w:val="156"/>
              <w:keepNext w:val="0"/>
              <w:keepLines w:val="0"/>
              <w:widowControl/>
              <w:suppressLineNumbers w:val="0"/>
              <w:spacing w:beforeAutospacing="0" w:after="0" w:afterAutospacing="0"/>
              <w:ind w:left="0" w:right="0"/>
              <w:rPr>
                <w:rFonts w:hint="default"/>
              </w:rPr>
            </w:pPr>
            <w:r>
              <w:rPr>
                <w:rFonts w:hint="default"/>
              </w:rPr>
              <w:t>模拟输入范围</w:t>
            </w: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电压输入</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0～10V DC（输入阻抗为1MΩ）</w:t>
            </w:r>
          </w:p>
        </w:tc>
        <w:tc>
          <w:tcPr>
            <w:tcW w:w="2527" w:type="dxa"/>
            <w:vMerge w:val="restart"/>
          </w:tcPr>
          <w:p>
            <w:pPr>
              <w:pStyle w:val="156"/>
              <w:keepNext w:val="0"/>
              <w:keepLines w:val="0"/>
              <w:widowControl/>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862" w:type="dxa"/>
            <w:gridSpan w:val="2"/>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电流输入</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 xml:space="preserve">4～20mA (输入阻抗为250Ω) </w:t>
            </w:r>
          </w:p>
        </w:tc>
        <w:tc>
          <w:tcPr>
            <w:tcW w:w="2527" w:type="dxa"/>
            <w:vMerge w:val="continue"/>
          </w:tcPr>
          <w:p>
            <w:pPr>
              <w:pStyle w:val="156"/>
              <w:keepNext w:val="0"/>
              <w:keepLines w:val="0"/>
              <w:widowControl/>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862" w:type="dxa"/>
            <w:gridSpan w:val="2"/>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NTC</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-50～+100</w:t>
            </w:r>
            <w:r>
              <w:rPr>
                <w:rFonts w:hint="eastAsia"/>
              </w:rPr>
              <w:t>℃</w:t>
            </w:r>
          </w:p>
        </w:tc>
        <w:tc>
          <w:tcPr>
            <w:tcW w:w="2527" w:type="dxa"/>
          </w:tcPr>
          <w:p>
            <w:pPr>
              <w:pStyle w:val="156"/>
              <w:keepNext w:val="0"/>
              <w:keepLines w:val="0"/>
              <w:widowControl/>
              <w:suppressLineNumbers w:val="0"/>
              <w:spacing w:beforeAutospacing="0" w:after="0" w:afterAutospacing="0"/>
              <w:ind w:left="0" w:right="0"/>
              <w:rPr>
                <w:rFonts w:hint="default"/>
              </w:rPr>
            </w:pPr>
            <w:r>
              <w:rPr>
                <w:rFonts w:hint="eastAsia"/>
              </w:rPr>
              <w:t>中心阻值10KΩ或2KΩ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0" w:type="dxa"/>
            <w:gridSpan w:val="3"/>
            <w:vAlign w:val="center"/>
          </w:tcPr>
          <w:p>
            <w:pPr>
              <w:pStyle w:val="156"/>
              <w:keepNext w:val="0"/>
              <w:keepLines w:val="0"/>
              <w:widowControl/>
              <w:suppressLineNumbers w:val="0"/>
              <w:spacing w:beforeAutospacing="0" w:after="0" w:afterAutospacing="0"/>
              <w:ind w:left="0" w:right="0"/>
              <w:rPr>
                <w:rFonts w:hint="default"/>
              </w:rPr>
            </w:pPr>
            <w:r>
              <w:rPr>
                <w:rFonts w:hint="default"/>
              </w:rPr>
              <w:t>转换速度</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15ms/通道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851" w:type="dxa"/>
            <w:vMerge w:val="restart"/>
            <w:vAlign w:val="center"/>
          </w:tcPr>
          <w:p>
            <w:pPr>
              <w:pStyle w:val="156"/>
              <w:keepNext w:val="0"/>
              <w:keepLines w:val="0"/>
              <w:widowControl/>
              <w:suppressLineNumbers w:val="0"/>
              <w:spacing w:beforeAutospacing="0" w:after="0" w:afterAutospacing="0"/>
              <w:ind w:left="0" w:right="0"/>
              <w:rPr>
                <w:rFonts w:hint="default"/>
              </w:rPr>
            </w:pPr>
            <w:r>
              <w:rPr>
                <w:rFonts w:hint="default"/>
              </w:rPr>
              <w:t>分辨率</w:t>
            </w:r>
          </w:p>
        </w:tc>
        <w:tc>
          <w:tcPr>
            <w:tcW w:w="1559"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电压输入</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5mV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851" w:type="dxa"/>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59"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电流输入</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10uA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jc w:val="center"/>
        </w:trPr>
        <w:tc>
          <w:tcPr>
            <w:tcW w:w="2410" w:type="dxa"/>
            <w:gridSpan w:val="3"/>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精度</w:t>
            </w:r>
          </w:p>
        </w:tc>
        <w:tc>
          <w:tcPr>
            <w:tcW w:w="6237" w:type="dxa"/>
            <w:gridSpan w:val="2"/>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2410" w:type="dxa"/>
            <w:gridSpan w:val="3"/>
            <w:vAlign w:val="center"/>
          </w:tcPr>
          <w:p>
            <w:pPr>
              <w:pStyle w:val="156"/>
              <w:keepNext w:val="0"/>
              <w:keepLines w:val="0"/>
              <w:widowControl/>
              <w:suppressLineNumbers w:val="0"/>
              <w:spacing w:beforeAutospacing="0" w:after="0" w:afterAutospacing="0"/>
              <w:ind w:left="0" w:right="0"/>
              <w:rPr>
                <w:rFonts w:hint="default"/>
              </w:rPr>
            </w:pPr>
            <w:r>
              <w:rPr>
                <w:rFonts w:hint="default"/>
              </w:rPr>
              <w:t>隔离</w:t>
            </w:r>
          </w:p>
        </w:tc>
        <w:tc>
          <w:tcPr>
            <w:tcW w:w="6237" w:type="dxa"/>
            <w:gridSpan w:val="2"/>
          </w:tcPr>
          <w:p>
            <w:pPr>
              <w:pStyle w:val="156"/>
              <w:keepNext w:val="0"/>
              <w:keepLines w:val="0"/>
              <w:widowControl/>
              <w:suppressLineNumbers w:val="0"/>
              <w:spacing w:beforeAutospacing="0" w:after="0" w:afterAutospacing="0"/>
              <w:ind w:left="0" w:right="0"/>
              <w:rPr>
                <w:rFonts w:hint="default"/>
              </w:rPr>
            </w:pPr>
            <w:r>
              <w:rPr>
                <w:rFonts w:hint="default"/>
              </w:rPr>
              <w:t>模拟电路和数字电路之间用光电耦合器进行隔离。模拟电路和外部电源用DC/DC进行隔离。模拟通道之间不隔离。</w:t>
            </w:r>
          </w:p>
        </w:tc>
      </w:tr>
    </w:tbl>
    <w:p>
      <w:pPr>
        <w:ind w:firstLine="174" w:firstLineChars="83"/>
        <w:rPr>
          <w:color w:val="FF0000"/>
        </w:rPr>
      </w:pPr>
      <w:r>
        <w:rPr>
          <w:rFonts w:hint="eastAsia"/>
          <w:color w:val="FF0000"/>
        </w:rPr>
        <w:t>依据附录1 NTC10K温度传感器阻值对应表，采集精度满足如下要求：</w:t>
      </w:r>
    </w:p>
    <w:p>
      <w:pPr>
        <w:pStyle w:val="193"/>
        <w:numPr>
          <w:ilvl w:val="0"/>
          <w:numId w:val="13"/>
        </w:numPr>
        <w:ind w:firstLineChars="0"/>
        <w:rPr>
          <w:color w:val="FF0000"/>
        </w:rPr>
      </w:pPr>
      <w:r>
        <w:rPr>
          <w:rFonts w:hint="eastAsia"/>
          <w:color w:val="FF0000"/>
        </w:rPr>
        <w:t>-15℃≤Tc&lt;55℃范围时误差小于0.2℃</w:t>
      </w:r>
    </w:p>
    <w:p>
      <w:pPr>
        <w:pStyle w:val="193"/>
        <w:numPr>
          <w:ilvl w:val="0"/>
          <w:numId w:val="13"/>
        </w:numPr>
        <w:ind w:firstLineChars="0"/>
        <w:rPr>
          <w:color w:val="FF0000"/>
        </w:rPr>
      </w:pPr>
      <w:r>
        <w:rPr>
          <w:rFonts w:hint="eastAsia"/>
          <w:color w:val="FF0000"/>
        </w:rPr>
        <w:t>-25℃≤Tc&lt;-15℃及55℃≤Tc&lt;70℃时误差小于0.4℃</w:t>
      </w:r>
    </w:p>
    <w:p>
      <w:pPr>
        <w:pStyle w:val="193"/>
        <w:numPr>
          <w:ilvl w:val="0"/>
          <w:numId w:val="13"/>
        </w:numPr>
        <w:ind w:firstLineChars="0"/>
        <w:rPr>
          <w:color w:val="FF0000"/>
        </w:rPr>
      </w:pPr>
      <w:r>
        <w:rPr>
          <w:rFonts w:hint="eastAsia"/>
          <w:color w:val="FF0000"/>
        </w:rPr>
        <w:t>-40℃≤Tc&lt;-25℃及70℃≤Tc&lt;100℃ 误差小于±1℃,</w:t>
      </w:r>
    </w:p>
    <w:p>
      <w:pPr>
        <w:pStyle w:val="193"/>
        <w:numPr>
          <w:ilvl w:val="0"/>
          <w:numId w:val="13"/>
        </w:numPr>
        <w:ind w:firstLineChars="0"/>
        <w:rPr>
          <w:color w:val="FF0000"/>
        </w:rPr>
      </w:pPr>
      <w:r>
        <w:rPr>
          <w:rFonts w:hint="eastAsia"/>
          <w:color w:val="FF0000"/>
        </w:rPr>
        <w:t>≥100℃时，误差小于±2℃</w:t>
      </w:r>
    </w:p>
    <w:p>
      <w:pPr>
        <w:pStyle w:val="3"/>
        <w:tabs>
          <w:tab w:val="left" w:pos="0"/>
          <w:tab w:val="clear" w:pos="567"/>
        </w:tabs>
        <w:spacing w:before="120"/>
      </w:pPr>
      <w:bookmarkStart w:id="44" w:name="_Toc28895"/>
      <w:r>
        <w:t>实时时钟</w:t>
      </w:r>
      <w:bookmarkEnd w:id="44"/>
    </w:p>
    <w:p>
      <w:pPr>
        <w:ind w:firstLine="480"/>
      </w:pPr>
      <w:r>
        <w:t>控制器提供实时时钟的功能，在控制器上电后保持10分钟以上持续供电的前提下，掉电之后的30天内保持实时时钟数据不丢失</w:t>
      </w:r>
      <w:r>
        <w:rPr>
          <w:rFonts w:hint="eastAsia"/>
        </w:rPr>
        <w:t>，</w:t>
      </w:r>
      <w:r>
        <w:t>持续供电功能需用超级电容实现，不允许使用电池。</w:t>
      </w:r>
    </w:p>
    <w:p>
      <w:pPr>
        <w:pStyle w:val="3"/>
        <w:tabs>
          <w:tab w:val="left" w:pos="0"/>
          <w:tab w:val="clear" w:pos="567"/>
        </w:tabs>
        <w:spacing w:before="120"/>
      </w:pPr>
      <w:bookmarkStart w:id="45" w:name="_Toc15092"/>
      <w:r>
        <w:t>存储器</w:t>
      </w:r>
      <w:bookmarkEnd w:id="45"/>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15</w:t>
      </w:r>
      <w:r>
        <w:rPr>
          <w:color w:val="FF0000"/>
        </w:rPr>
        <w:fldChar w:fldCharType="end"/>
      </w:r>
      <w:r>
        <w:rPr>
          <w:rFonts w:hint="eastAsia"/>
          <w:color w:val="FF0000"/>
        </w:rPr>
        <w:t xml:space="preserve"> 表1中件1和件2的存储器配置</w:t>
      </w:r>
    </w:p>
    <w:tbl>
      <w:tblPr>
        <w:tblStyle w:val="60"/>
        <w:tblW w:w="917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2694"/>
        <w:gridCol w:w="1701"/>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项目</w:t>
            </w:r>
          </w:p>
        </w:tc>
        <w:tc>
          <w:tcPr>
            <w:tcW w:w="269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接口方式</w:t>
            </w:r>
          </w:p>
        </w:tc>
        <w:tc>
          <w:tcPr>
            <w:tcW w:w="1701"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容量byte</w:t>
            </w:r>
          </w:p>
        </w:tc>
        <w:tc>
          <w:tcPr>
            <w:tcW w:w="3827"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RAM</w:t>
            </w:r>
          </w:p>
        </w:tc>
        <w:tc>
          <w:tcPr>
            <w:tcW w:w="269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MCU片外</w:t>
            </w:r>
          </w:p>
        </w:tc>
        <w:tc>
          <w:tcPr>
            <w:tcW w:w="1701"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256K（16bit）</w:t>
            </w:r>
          </w:p>
        </w:tc>
        <w:tc>
          <w:tcPr>
            <w:tcW w:w="3827" w:type="dxa"/>
            <w:vMerge w:val="restart"/>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工作缓存，包括变量、元件、栈等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RAM</w:t>
            </w:r>
          </w:p>
        </w:tc>
        <w:tc>
          <w:tcPr>
            <w:tcW w:w="269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MCU片内</w:t>
            </w:r>
          </w:p>
        </w:tc>
        <w:tc>
          <w:tcPr>
            <w:tcW w:w="1701"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192K</w:t>
            </w:r>
          </w:p>
        </w:tc>
        <w:tc>
          <w:tcPr>
            <w:tcW w:w="3827" w:type="dxa"/>
            <w:vMerge w:val="continue"/>
            <w:vAlign w:val="center"/>
          </w:tcPr>
          <w:p>
            <w:pPr>
              <w:pStyle w:val="156"/>
              <w:keepNext w:val="0"/>
              <w:keepLines w:val="0"/>
              <w:widowControl/>
              <w:suppressLineNumbers w:val="0"/>
              <w:spacing w:beforeAutospacing="0" w:after="0" w:afterAutospacing="0" w:line="360"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Merge w:val="restart"/>
            <w:vAlign w:val="center"/>
          </w:tcPr>
          <w:p>
            <w:pPr>
              <w:pStyle w:val="156"/>
              <w:keepNext w:val="0"/>
              <w:keepLines w:val="0"/>
              <w:widowControl/>
              <w:suppressLineNumbers w:val="0"/>
              <w:spacing w:beforeAutospacing="0" w:after="0" w:afterAutospacing="0" w:line="360" w:lineRule="auto"/>
              <w:ind w:left="0" w:right="0"/>
              <w:rPr>
                <w:rFonts w:hint="default"/>
              </w:rPr>
            </w:pPr>
          </w:p>
          <w:p>
            <w:pPr>
              <w:pStyle w:val="156"/>
              <w:keepNext w:val="0"/>
              <w:keepLines w:val="0"/>
              <w:widowControl/>
              <w:suppressLineNumbers w:val="0"/>
              <w:spacing w:beforeAutospacing="0" w:after="0" w:afterAutospacing="0" w:line="360" w:lineRule="auto"/>
              <w:ind w:left="0" w:right="0"/>
              <w:rPr>
                <w:rFonts w:hint="default"/>
              </w:rPr>
            </w:pPr>
            <w:r>
              <w:rPr>
                <w:rFonts w:hint="default"/>
              </w:rPr>
              <w:t>FLASH</w:t>
            </w:r>
          </w:p>
        </w:tc>
        <w:tc>
          <w:tcPr>
            <w:tcW w:w="269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MCU片内</w:t>
            </w:r>
          </w:p>
        </w:tc>
        <w:tc>
          <w:tcPr>
            <w:tcW w:w="1701"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1024K</w:t>
            </w:r>
          </w:p>
        </w:tc>
        <w:tc>
          <w:tcPr>
            <w:tcW w:w="3827"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系统程序、用户文件区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Merge w:val="continue"/>
            <w:vAlign w:val="center"/>
          </w:tcPr>
          <w:p>
            <w:pPr>
              <w:pStyle w:val="156"/>
              <w:keepNext w:val="0"/>
              <w:keepLines w:val="0"/>
              <w:widowControl/>
              <w:suppressLineNumbers w:val="0"/>
              <w:spacing w:beforeAutospacing="0" w:after="0" w:afterAutospacing="0" w:line="360" w:lineRule="auto"/>
              <w:ind w:left="0" w:right="0"/>
              <w:rPr>
                <w:rFonts w:hint="default"/>
              </w:rPr>
            </w:pPr>
          </w:p>
        </w:tc>
        <w:tc>
          <w:tcPr>
            <w:tcW w:w="269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MCU片外NAND FLASH</w:t>
            </w:r>
          </w:p>
        </w:tc>
        <w:tc>
          <w:tcPr>
            <w:tcW w:w="1701"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1024M</w:t>
            </w:r>
          </w:p>
        </w:tc>
        <w:tc>
          <w:tcPr>
            <w:tcW w:w="3827"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失电保持区，擦写均衡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Merge w:val="continue"/>
            <w:vAlign w:val="center"/>
          </w:tcPr>
          <w:p>
            <w:pPr>
              <w:pStyle w:val="156"/>
              <w:keepNext w:val="0"/>
              <w:keepLines w:val="0"/>
              <w:widowControl/>
              <w:suppressLineNumbers w:val="0"/>
              <w:spacing w:beforeAutospacing="0" w:after="0" w:afterAutospacing="0" w:line="360" w:lineRule="auto"/>
              <w:ind w:left="0" w:right="0"/>
              <w:rPr>
                <w:rFonts w:hint="default"/>
              </w:rPr>
            </w:pPr>
          </w:p>
        </w:tc>
        <w:tc>
          <w:tcPr>
            <w:tcW w:w="2694"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MCU片外SD CARD</w:t>
            </w:r>
          </w:p>
        </w:tc>
        <w:tc>
          <w:tcPr>
            <w:tcW w:w="1701"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8G max</w:t>
            </w:r>
          </w:p>
        </w:tc>
        <w:tc>
          <w:tcPr>
            <w:tcW w:w="3827" w:type="dxa"/>
            <w:vAlign w:val="center"/>
          </w:tcPr>
          <w:p>
            <w:pPr>
              <w:pStyle w:val="156"/>
              <w:keepNext w:val="0"/>
              <w:keepLines w:val="0"/>
              <w:widowControl/>
              <w:suppressLineNumbers w:val="0"/>
              <w:spacing w:beforeAutospacing="0" w:after="0" w:afterAutospacing="0" w:line="360" w:lineRule="auto"/>
              <w:ind w:left="0" w:right="0"/>
              <w:rPr>
                <w:rFonts w:hint="default"/>
              </w:rPr>
            </w:pPr>
            <w:r>
              <w:rPr>
                <w:rFonts w:hint="default"/>
              </w:rPr>
              <w:t>数据存储、程序下载</w:t>
            </w:r>
          </w:p>
        </w:tc>
      </w:tr>
    </w:tbl>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16</w:t>
      </w:r>
      <w:r>
        <w:rPr>
          <w:color w:val="FF0000"/>
        </w:rPr>
        <w:fldChar w:fldCharType="end"/>
      </w:r>
      <w:r>
        <w:rPr>
          <w:rFonts w:hint="eastAsia"/>
          <w:color w:val="FF0000"/>
        </w:rPr>
        <w:t xml:space="preserve"> 表1中件3的 存储器配置</w:t>
      </w:r>
    </w:p>
    <w:tbl>
      <w:tblPr>
        <w:tblStyle w:val="60"/>
        <w:tblW w:w="917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276"/>
        <w:gridCol w:w="4565"/>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Align w:val="center"/>
          </w:tcPr>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jc w:val="both"/>
              <w:textAlignment w:val="auto"/>
              <w:rPr>
                <w:rFonts w:hint="default"/>
                <w:color w:val="FF0000"/>
              </w:rPr>
            </w:pPr>
            <w:r>
              <w:rPr>
                <w:rFonts w:hint="default"/>
                <w:color w:val="FF0000"/>
              </w:rPr>
              <w:t>项目</w:t>
            </w:r>
          </w:p>
        </w:tc>
        <w:tc>
          <w:tcPr>
            <w:tcW w:w="1276" w:type="dxa"/>
            <w:vAlign w:val="center"/>
          </w:tcPr>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jc w:val="both"/>
              <w:textAlignment w:val="auto"/>
              <w:rPr>
                <w:rFonts w:hint="default"/>
                <w:color w:val="FF0000"/>
              </w:rPr>
            </w:pPr>
            <w:r>
              <w:rPr>
                <w:rFonts w:hint="default"/>
                <w:color w:val="FF0000"/>
              </w:rPr>
              <w:t>接口方式</w:t>
            </w:r>
          </w:p>
        </w:tc>
        <w:tc>
          <w:tcPr>
            <w:tcW w:w="4565" w:type="dxa"/>
            <w:vAlign w:val="center"/>
          </w:tcPr>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textAlignment w:val="auto"/>
              <w:rPr>
                <w:rFonts w:hint="default"/>
                <w:color w:val="FF0000"/>
              </w:rPr>
            </w:pPr>
            <w:r>
              <w:rPr>
                <w:rFonts w:hint="default"/>
                <w:color w:val="FF0000"/>
              </w:rPr>
              <w:t>容量byte</w:t>
            </w:r>
          </w:p>
        </w:tc>
        <w:tc>
          <w:tcPr>
            <w:tcW w:w="2381" w:type="dxa"/>
            <w:vAlign w:val="center"/>
          </w:tcPr>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textAlignment w:val="auto"/>
              <w:rPr>
                <w:rFonts w:hint="default"/>
                <w:color w:val="FF0000"/>
              </w:rPr>
            </w:pPr>
            <w:r>
              <w:rPr>
                <w:rFonts w:hint="default"/>
                <w:color w:val="FF0000"/>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Align w:val="center"/>
          </w:tcPr>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jc w:val="both"/>
              <w:textAlignment w:val="auto"/>
              <w:rPr>
                <w:rFonts w:hint="default"/>
                <w:color w:val="FF0000"/>
              </w:rPr>
            </w:pPr>
            <w:r>
              <w:rPr>
                <w:rFonts w:hint="default"/>
                <w:color w:val="FF0000"/>
              </w:rPr>
              <w:t>RAM</w:t>
            </w:r>
          </w:p>
        </w:tc>
        <w:tc>
          <w:tcPr>
            <w:tcW w:w="1276" w:type="dxa"/>
            <w:vAlign w:val="center"/>
          </w:tcPr>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jc w:val="both"/>
              <w:textAlignment w:val="auto"/>
              <w:rPr>
                <w:rFonts w:hint="default"/>
                <w:color w:val="FF0000"/>
              </w:rPr>
            </w:pPr>
            <w:r>
              <w:rPr>
                <w:rFonts w:hint="default"/>
                <w:color w:val="FF0000"/>
              </w:rPr>
              <w:t>MCU片外</w:t>
            </w:r>
          </w:p>
        </w:tc>
        <w:tc>
          <w:tcPr>
            <w:tcW w:w="4565"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b/>
                <w:color w:val="FF0000"/>
                <w:szCs w:val="20"/>
              </w:rPr>
            </w:pPr>
            <w:r>
              <w:rPr>
                <w:rFonts w:hint="default" w:ascii="宋体" w:hAnsi="宋体"/>
                <w:color w:val="FF0000"/>
                <w:szCs w:val="20"/>
              </w:rPr>
              <w:t>8Gbit DDR3L</w:t>
            </w:r>
          </w:p>
        </w:tc>
        <w:tc>
          <w:tcPr>
            <w:tcW w:w="2381" w:type="dxa"/>
            <w:vMerge w:val="restart"/>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color w:val="FF0000"/>
                <w:szCs w:val="20"/>
              </w:rPr>
            </w:pPr>
            <w:r>
              <w:rPr>
                <w:rFonts w:hint="default" w:ascii="宋体" w:hAnsi="宋体"/>
                <w:color w:val="FF0000"/>
                <w:szCs w:val="20"/>
              </w:rPr>
              <w:t>工作缓存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ascii="宋体" w:hAnsi="宋体"/>
                <w:color w:val="FF0000"/>
                <w:szCs w:val="20"/>
              </w:rPr>
            </w:pPr>
            <w:r>
              <w:rPr>
                <w:rFonts w:hint="default" w:ascii="宋体" w:hAnsi="宋体"/>
                <w:color w:val="FF0000"/>
                <w:szCs w:val="20"/>
              </w:rPr>
              <w:t>RAM</w:t>
            </w:r>
          </w:p>
        </w:tc>
        <w:tc>
          <w:tcPr>
            <w:tcW w:w="1276"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ascii="宋体" w:hAnsi="宋体"/>
                <w:color w:val="FF0000"/>
                <w:szCs w:val="20"/>
              </w:rPr>
            </w:pPr>
            <w:r>
              <w:rPr>
                <w:rFonts w:hint="default" w:ascii="宋体" w:hAnsi="宋体"/>
                <w:color w:val="FF0000"/>
                <w:szCs w:val="20"/>
              </w:rPr>
              <w:t>MCU片内</w:t>
            </w:r>
          </w:p>
        </w:tc>
        <w:tc>
          <w:tcPr>
            <w:tcW w:w="4565"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ascii="宋体" w:hAnsi="宋体"/>
                <w:color w:val="FF0000"/>
                <w:szCs w:val="20"/>
              </w:rPr>
            </w:pPr>
            <w:r>
              <w:rPr>
                <w:rFonts w:hint="default" w:ascii="宋体" w:hAnsi="宋体"/>
                <w:color w:val="FF0000"/>
                <w:szCs w:val="20"/>
              </w:rPr>
              <w:t>Caches</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ascii="宋体" w:hAnsi="宋体"/>
                <w:color w:val="FF0000"/>
                <w:szCs w:val="20"/>
              </w:rPr>
            </w:pPr>
            <w:r>
              <w:rPr>
                <w:rFonts w:hint="default" w:ascii="宋体" w:hAnsi="宋体"/>
                <w:color w:val="FF0000"/>
                <w:szCs w:val="20"/>
              </w:rPr>
              <w:t>32KB/32KB L1 I-Cache/D-Cache per CPU</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ascii="宋体" w:hAnsi="宋体"/>
                <w:color w:val="FF0000"/>
                <w:szCs w:val="20"/>
              </w:rPr>
            </w:pPr>
            <w:r>
              <w:rPr>
                <w:rFonts w:hint="default" w:ascii="宋体" w:hAnsi="宋体"/>
                <w:color w:val="FF0000"/>
                <w:szCs w:val="20"/>
              </w:rPr>
              <w:t>256KB L2 Cache</w:t>
            </w:r>
          </w:p>
        </w:tc>
        <w:tc>
          <w:tcPr>
            <w:tcW w:w="2381" w:type="dxa"/>
            <w:vMerge w:val="continue"/>
            <w:vAlign w:val="center"/>
          </w:tcPr>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textAlignment w:val="auto"/>
              <w:rPr>
                <w:rFonts w:hint="default"/>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4"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ascii="宋体" w:hAnsi="宋体"/>
                <w:color w:val="FF0000"/>
                <w:szCs w:val="20"/>
              </w:rPr>
            </w:pPr>
            <w:r>
              <w:rPr>
                <w:rFonts w:hint="default" w:ascii="宋体" w:hAnsi="宋体"/>
                <w:color w:val="FF0000"/>
                <w:szCs w:val="20"/>
              </w:rPr>
              <w:t>FLASH</w:t>
            </w:r>
          </w:p>
        </w:tc>
        <w:tc>
          <w:tcPr>
            <w:tcW w:w="1276"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ascii="宋体" w:hAnsi="宋体"/>
                <w:color w:val="FF0000"/>
                <w:szCs w:val="20"/>
              </w:rPr>
            </w:pPr>
            <w:r>
              <w:rPr>
                <w:rFonts w:hint="default" w:ascii="宋体" w:hAnsi="宋体"/>
                <w:color w:val="FF0000"/>
                <w:szCs w:val="20"/>
              </w:rPr>
              <w:t>MCU</w:t>
            </w:r>
            <w:r>
              <w:rPr>
                <w:rFonts w:hint="eastAsia" w:ascii="宋体" w:hAnsi="宋体"/>
                <w:color w:val="FF0000"/>
                <w:szCs w:val="20"/>
              </w:rPr>
              <w:t>片外</w:t>
            </w:r>
          </w:p>
        </w:tc>
        <w:tc>
          <w:tcPr>
            <w:tcW w:w="4565" w:type="dxa"/>
            <w:vAlign w:val="center"/>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00" w:lineRule="exact"/>
              <w:ind w:left="0" w:right="0" w:firstLine="0" w:firstLineChars="0"/>
              <w:textAlignment w:val="auto"/>
              <w:rPr>
                <w:rFonts w:hint="default" w:ascii="宋体" w:hAnsi="宋体"/>
                <w:color w:val="FF0000"/>
                <w:szCs w:val="20"/>
              </w:rPr>
            </w:pPr>
            <w:bookmarkStart w:id="46" w:name="OLE_LINK15"/>
            <w:bookmarkStart w:id="47" w:name="OLE_LINK14"/>
            <w:r>
              <w:rPr>
                <w:rFonts w:hint="default" w:ascii="宋体" w:hAnsi="宋体"/>
                <w:color w:val="FF0000"/>
                <w:szCs w:val="20"/>
              </w:rPr>
              <w:t>8GB eMMC</w:t>
            </w:r>
            <w:r>
              <w:rPr>
                <w:rFonts w:hint="eastAsia" w:ascii="宋体" w:hAnsi="宋体"/>
                <w:color w:val="FF0000"/>
                <w:szCs w:val="20"/>
              </w:rPr>
              <w:t>（可扩充至64</w:t>
            </w:r>
            <w:r>
              <w:rPr>
                <w:rFonts w:hint="default" w:ascii="宋体" w:hAnsi="宋体"/>
                <w:color w:val="FF0000"/>
                <w:szCs w:val="20"/>
              </w:rPr>
              <w:t>GB</w:t>
            </w:r>
            <w:r>
              <w:rPr>
                <w:rFonts w:hint="eastAsia" w:ascii="宋体" w:hAnsi="宋体"/>
                <w:color w:val="FF0000"/>
                <w:szCs w:val="20"/>
              </w:rPr>
              <w:t>）</w:t>
            </w:r>
            <w:bookmarkEnd w:id="46"/>
            <w:bookmarkEnd w:id="47"/>
          </w:p>
        </w:tc>
        <w:tc>
          <w:tcPr>
            <w:tcW w:w="2381" w:type="dxa"/>
            <w:vAlign w:val="center"/>
          </w:tcPr>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textAlignment w:val="auto"/>
              <w:rPr>
                <w:rFonts w:hint="default"/>
                <w:color w:val="FF0000"/>
              </w:rPr>
            </w:pPr>
            <w:r>
              <w:rPr>
                <w:rFonts w:hint="default"/>
                <w:color w:val="FF0000"/>
              </w:rPr>
              <w:t>系统程序、用户文件区</w:t>
            </w:r>
          </w:p>
          <w:p>
            <w:pPr>
              <w:pStyle w:val="156"/>
              <w:keepNext w:val="0"/>
              <w:keepLines w:val="0"/>
              <w:pageBreakBefore w:val="0"/>
              <w:widowControl/>
              <w:suppressLineNumbers w:val="0"/>
              <w:kinsoku/>
              <w:wordWrap/>
              <w:overflowPunct/>
              <w:topLinePunct w:val="0"/>
              <w:bidi w:val="0"/>
              <w:snapToGrid/>
              <w:spacing w:beforeAutospacing="0" w:after="0" w:afterAutospacing="0" w:line="400" w:lineRule="exact"/>
              <w:ind w:left="0" w:right="0"/>
              <w:textAlignment w:val="auto"/>
              <w:rPr>
                <w:rFonts w:hint="default"/>
                <w:color w:val="FF0000"/>
              </w:rPr>
            </w:pPr>
            <w:r>
              <w:rPr>
                <w:rFonts w:hint="default"/>
                <w:color w:val="FF0000"/>
              </w:rPr>
              <w:t>失电保持区，擦写均衡</w:t>
            </w:r>
          </w:p>
        </w:tc>
      </w:tr>
    </w:tbl>
    <w:p>
      <w:pPr>
        <w:ind w:firstLine="480"/>
      </w:pPr>
      <w:r>
        <w:t>支持以子程序形式的指定地址、大小、数据的读写操作功能，其中地址、大小及数据起始地址均可以在运行中动态改变。</w:t>
      </w:r>
    </w:p>
    <w:p>
      <w:pPr>
        <w:ind w:firstLine="480"/>
      </w:pPr>
      <w:r>
        <w:t>支持存储器状态及格式化功能，支持获取存储器总存储容量及可用容量功能。</w:t>
      </w:r>
    </w:p>
    <w:p>
      <w:pPr>
        <w:pStyle w:val="3"/>
        <w:tabs>
          <w:tab w:val="left" w:pos="0"/>
          <w:tab w:val="clear" w:pos="567"/>
        </w:tabs>
        <w:spacing w:before="120"/>
        <w:rPr>
          <w:color w:val="FF0000"/>
        </w:rPr>
      </w:pPr>
      <w:bookmarkStart w:id="48" w:name="_Toc12682"/>
      <w:r>
        <w:rPr>
          <w:rFonts w:hint="eastAsia"/>
          <w:color w:val="FF0000"/>
        </w:rPr>
        <w:t>PTU</w:t>
      </w:r>
      <w:r>
        <w:rPr>
          <w:color w:val="FF0000"/>
        </w:rPr>
        <w:t>以太网接口</w:t>
      </w:r>
      <w:bookmarkEnd w:id="48"/>
    </w:p>
    <w:p>
      <w:pPr>
        <w:ind w:firstLine="480"/>
      </w:pPr>
      <w:r>
        <w:t>支持IEEE802.3 相关规定</w:t>
      </w:r>
      <w:r>
        <w:rPr>
          <w:rFonts w:hint="eastAsia"/>
        </w:rPr>
        <w:t>。</w:t>
      </w:r>
    </w:p>
    <w:p>
      <w:pPr>
        <w:ind w:firstLine="480"/>
      </w:pPr>
      <w:r>
        <w:t>变压器隔离，隔离电压</w:t>
      </w:r>
      <w:r>
        <w:rPr>
          <w:rFonts w:hint="eastAsia"/>
        </w:rPr>
        <w:t>&gt;</w:t>
      </w:r>
      <w:r>
        <w:t>=500V AC</w:t>
      </w:r>
      <w:r>
        <w:rPr>
          <w:rFonts w:hint="eastAsia"/>
        </w:rPr>
        <w:t>。</w:t>
      </w:r>
    </w:p>
    <w:p>
      <w:pPr>
        <w:ind w:firstLine="480"/>
      </w:pPr>
      <w:r>
        <w:t>接口定义符合M12-D型连接器，并符合相关引脚定义</w:t>
      </w:r>
      <w:r>
        <w:rPr>
          <w:rFonts w:hint="eastAsia"/>
        </w:rPr>
        <w:t>。</w:t>
      </w:r>
    </w:p>
    <w:p>
      <w:pPr>
        <w:pStyle w:val="3"/>
        <w:tabs>
          <w:tab w:val="left" w:pos="0"/>
          <w:tab w:val="clear" w:pos="567"/>
        </w:tabs>
        <w:spacing w:before="120"/>
      </w:pPr>
      <w:bookmarkStart w:id="49" w:name="_Toc18744"/>
      <w:r>
        <w:t>SWD</w:t>
      </w:r>
      <w:r>
        <w:rPr>
          <w:rFonts w:hint="eastAsia"/>
        </w:rPr>
        <w:t>隔离</w:t>
      </w:r>
      <w:r>
        <w:t>接口</w:t>
      </w:r>
      <w:bookmarkEnd w:id="49"/>
    </w:p>
    <w:p>
      <w:pPr>
        <w:ind w:firstLine="480"/>
      </w:pPr>
      <w:r>
        <w:rPr>
          <w:rFonts w:hint="eastAsia"/>
        </w:rPr>
        <w:t>将控制器</w:t>
      </w:r>
      <w:r>
        <w:t>的SWD调试</w:t>
      </w:r>
      <w:r>
        <w:rPr>
          <w:rFonts w:hint="eastAsia"/>
        </w:rPr>
        <w:t>口</w:t>
      </w:r>
      <w:r>
        <w:t>增加隔离电路后引出，对外接口为普通</w:t>
      </w:r>
      <w:r>
        <w:rPr>
          <w:rFonts w:hint="eastAsia"/>
        </w:rPr>
        <w:t>4针</w:t>
      </w:r>
      <w:r>
        <w:t>的</w:t>
      </w:r>
      <w:r>
        <w:rPr>
          <w:rFonts w:hint="eastAsia"/>
        </w:rPr>
        <w:t>连接器端子座</w:t>
      </w:r>
      <w:r>
        <w:t>接口</w:t>
      </w:r>
      <w:r>
        <w:rPr>
          <w:rFonts w:hint="eastAsia"/>
        </w:rPr>
        <w:t>。</w:t>
      </w:r>
    </w:p>
    <w:p>
      <w:pPr>
        <w:pStyle w:val="3"/>
        <w:tabs>
          <w:tab w:val="left" w:pos="0"/>
          <w:tab w:val="clear" w:pos="567"/>
        </w:tabs>
        <w:spacing w:before="120"/>
      </w:pPr>
      <w:bookmarkStart w:id="50" w:name="_Toc25105"/>
      <w:r>
        <w:t>RS485</w:t>
      </w:r>
      <w:bookmarkEnd w:id="50"/>
    </w:p>
    <w:p>
      <w:pPr>
        <w:pStyle w:val="193"/>
        <w:numPr>
          <w:ilvl w:val="0"/>
          <w:numId w:val="14"/>
        </w:numPr>
        <w:ind w:firstLineChars="0"/>
      </w:pPr>
      <w:r>
        <w:t>RS485符合国际行业规定，具备A+、B+及GND基本通信功能。</w:t>
      </w:r>
    </w:p>
    <w:p>
      <w:pPr>
        <w:pStyle w:val="193"/>
        <w:numPr>
          <w:ilvl w:val="0"/>
          <w:numId w:val="14"/>
        </w:numPr>
        <w:ind w:firstLineChars="0"/>
      </w:pPr>
      <w:r>
        <w:t>隔离电压500V/AC</w:t>
      </w:r>
      <w:r>
        <w:rPr>
          <w:rFonts w:hint="eastAsia"/>
        </w:rPr>
        <w:t>。</w:t>
      </w:r>
    </w:p>
    <w:p>
      <w:pPr>
        <w:pStyle w:val="193"/>
        <w:numPr>
          <w:ilvl w:val="0"/>
          <w:numId w:val="14"/>
        </w:numPr>
        <w:ind w:firstLineChars="0"/>
      </w:pPr>
      <w:r>
        <w:t>通信波特率</w:t>
      </w:r>
      <w:r>
        <w:rPr>
          <w:rFonts w:hint="eastAsia"/>
        </w:rPr>
        <w:t>最大支持</w:t>
      </w:r>
      <w:r>
        <w:t>115200bps</w:t>
      </w:r>
      <w:r>
        <w:rPr>
          <w:rFonts w:hint="eastAsia"/>
        </w:rPr>
        <w:t>。</w:t>
      </w:r>
    </w:p>
    <w:p>
      <w:pPr>
        <w:pStyle w:val="3"/>
        <w:tabs>
          <w:tab w:val="left" w:pos="0"/>
          <w:tab w:val="clear" w:pos="567"/>
        </w:tabs>
        <w:spacing w:before="120"/>
        <w:rPr>
          <w:color w:val="FF0000"/>
        </w:rPr>
      </w:pPr>
      <w:bookmarkStart w:id="51" w:name="_Toc16714"/>
      <w:r>
        <w:rPr>
          <w:rFonts w:hint="eastAsia"/>
          <w:color w:val="FF0000"/>
        </w:rPr>
        <w:t>CAN</w:t>
      </w:r>
      <w:bookmarkEnd w:id="51"/>
    </w:p>
    <w:p>
      <w:pPr>
        <w:ind w:firstLine="480"/>
        <w:rPr>
          <w:rFonts w:ascii="宋体" w:hAnsi="宋体" w:cs="宋体"/>
          <w:color w:val="FF0000"/>
        </w:rPr>
      </w:pPr>
      <w:r>
        <w:rPr>
          <w:rFonts w:hint="eastAsia" w:ascii="宋体" w:hAnsi="宋体" w:cs="宋体"/>
          <w:color w:val="FF0000"/>
        </w:rPr>
        <w:t>CAN通信与主板进行隔离，具备屏蔽接口，隔离电压500V/AC。</w:t>
      </w:r>
    </w:p>
    <w:p>
      <w:pPr>
        <w:pStyle w:val="3"/>
        <w:tabs>
          <w:tab w:val="left" w:pos="0"/>
          <w:tab w:val="clear" w:pos="567"/>
        </w:tabs>
        <w:spacing w:before="120"/>
      </w:pPr>
      <w:r>
        <w:t xml:space="preserve"> </w:t>
      </w:r>
      <w:bookmarkStart w:id="52" w:name="_Toc2560"/>
      <w:r>
        <w:t>PC104</w:t>
      </w:r>
      <w:r>
        <w:rPr>
          <w:rFonts w:hint="eastAsia"/>
        </w:rPr>
        <w:t>接口</w:t>
      </w:r>
      <w:bookmarkEnd w:id="52"/>
      <w:r>
        <w:t xml:space="preserve"> </w:t>
      </w:r>
    </w:p>
    <w:p>
      <w:pPr>
        <w:ind w:firstLine="480"/>
      </w:pPr>
      <w:r>
        <w:t>最少可以同时支持西门子PC104-BG Std TCN；Dugan D114L；RS485（KPC-WK-01）；HDLC；CANOpen；以太网中的一种扩展接口通信。</w:t>
      </w:r>
    </w:p>
    <w:p>
      <w:pPr>
        <w:ind w:firstLine="480"/>
      </w:pPr>
      <w:r>
        <w:rPr>
          <w:rFonts w:hint="eastAsia"/>
        </w:rPr>
        <w:t>PC</w:t>
      </w:r>
      <w:r>
        <w:t>104</w:t>
      </w:r>
      <w:r>
        <w:rPr>
          <w:rFonts w:hint="eastAsia"/>
        </w:rPr>
        <w:t>接口</w:t>
      </w:r>
      <w:r>
        <w:t>处需</w:t>
      </w:r>
      <w:r>
        <w:rPr>
          <w:rFonts w:hint="eastAsia"/>
        </w:rPr>
        <w:t>同时</w:t>
      </w:r>
      <w:r>
        <w:t>支持</w:t>
      </w:r>
      <w:r>
        <w:rPr>
          <w:rFonts w:hint="eastAsia"/>
        </w:rPr>
        <w:t>；</w:t>
      </w:r>
      <w:r>
        <w:t>FSMC</w:t>
      </w:r>
      <w:r>
        <w:rPr>
          <w:rFonts w:hint="eastAsia"/>
        </w:rPr>
        <w:t>，</w:t>
      </w:r>
      <w:r>
        <w:t>CAN和串口</w:t>
      </w:r>
      <w:r>
        <w:rPr>
          <w:rFonts w:hint="eastAsia"/>
        </w:rPr>
        <w:t>，</w:t>
      </w:r>
      <w:r>
        <w:t>其中CAN接口</w:t>
      </w:r>
      <w:r>
        <w:rPr>
          <w:rFonts w:hint="eastAsia"/>
        </w:rPr>
        <w:t>管脚</w:t>
      </w:r>
      <w:r>
        <w:t>定义为</w:t>
      </w:r>
      <w:r>
        <w:rPr>
          <w:rFonts w:hint="eastAsia"/>
        </w:rPr>
        <w:t>：</w:t>
      </w:r>
      <w:r>
        <w:t>CAN_RX</w:t>
      </w:r>
      <w:r>
        <w:rPr>
          <w:rFonts w:hint="eastAsia"/>
        </w:rPr>
        <w:t>为91，</w:t>
      </w:r>
      <w:r>
        <w:t>CAN_TX</w:t>
      </w:r>
      <w:r>
        <w:rPr>
          <w:rFonts w:hint="eastAsia"/>
        </w:rPr>
        <w:t>为92，串口</w:t>
      </w:r>
      <w:r>
        <w:t>管脚定义为</w:t>
      </w:r>
      <w:r>
        <w:rPr>
          <w:rFonts w:hint="eastAsia"/>
        </w:rPr>
        <w:t>:UART</w:t>
      </w:r>
      <w:r>
        <w:t>_RX</w:t>
      </w:r>
      <w:r>
        <w:rPr>
          <w:rFonts w:hint="eastAsia"/>
        </w:rPr>
        <w:t>为42，</w:t>
      </w:r>
      <w:r>
        <w:t>UART_TX</w:t>
      </w:r>
      <w:r>
        <w:rPr>
          <w:rFonts w:hint="eastAsia"/>
        </w:rPr>
        <w:t>为43。</w:t>
      </w:r>
    </w:p>
    <w:p>
      <w:pPr>
        <w:pStyle w:val="3"/>
        <w:tabs>
          <w:tab w:val="left" w:pos="0"/>
          <w:tab w:val="clear" w:pos="567"/>
        </w:tabs>
        <w:spacing w:before="120"/>
      </w:pPr>
      <w:bookmarkStart w:id="53" w:name="_Toc4524"/>
      <w:r>
        <w:t>ETH网络接口</w:t>
      </w:r>
      <w:bookmarkEnd w:id="53"/>
    </w:p>
    <w:p>
      <w:pPr>
        <w:ind w:firstLine="480"/>
      </w:pPr>
      <w:r>
        <w:t>支持IEEE 802.3 MAC及相关的必要参数配置功能，每个网卡接口具备全球唯一的MAC地址。</w:t>
      </w:r>
    </w:p>
    <w:p>
      <w:pPr>
        <w:ind w:firstLine="480"/>
      </w:pPr>
      <w:r>
        <w:t>支持TCP</w:t>
      </w:r>
      <w:r>
        <w:rPr>
          <w:rFonts w:hint="eastAsia"/>
        </w:rPr>
        <w:t>、</w:t>
      </w:r>
      <w:r>
        <w:t>UDP</w:t>
      </w:r>
      <w:r>
        <w:rPr>
          <w:rFonts w:hint="eastAsia"/>
        </w:rPr>
        <w:t>、</w:t>
      </w:r>
      <w:r>
        <w:t>ICMP</w:t>
      </w:r>
      <w:r>
        <w:rPr>
          <w:rFonts w:hint="eastAsia"/>
        </w:rPr>
        <w:t>、</w:t>
      </w:r>
      <w:r>
        <w:t>IPV4</w:t>
      </w:r>
      <w:r>
        <w:rPr>
          <w:rFonts w:hint="eastAsia"/>
        </w:rPr>
        <w:t>、</w:t>
      </w:r>
      <w:r>
        <w:t>ARP等功能。</w:t>
      </w:r>
    </w:p>
    <w:p>
      <w:pPr>
        <w:ind w:firstLine="480"/>
      </w:pPr>
      <w:r>
        <w:t>支持最小8个套接字，每个套接字均可独立配置为TCP或UDP端口，并通过此端口接收或发送数据。</w:t>
      </w:r>
    </w:p>
    <w:p>
      <w:pPr>
        <w:ind w:firstLine="480"/>
      </w:pPr>
      <w:r>
        <w:t>可以通过应用软件配置系统的相关IP。</w:t>
      </w:r>
    </w:p>
    <w:p>
      <w:pPr>
        <w:ind w:firstLine="480"/>
      </w:pPr>
      <w:r>
        <w:t>应用软件可以实现对系统相关信息的监测。</w:t>
      </w:r>
    </w:p>
    <w:p>
      <w:pPr>
        <w:ind w:firstLine="480"/>
      </w:pPr>
      <w:r>
        <w:t>支持10/100M bps 自适应功能。</w:t>
      </w:r>
    </w:p>
    <w:p>
      <w:pPr>
        <w:pStyle w:val="2"/>
        <w:spacing w:before="240" w:after="120"/>
        <w:rPr>
          <w:color w:val="FF0000"/>
        </w:rPr>
      </w:pPr>
      <w:bookmarkStart w:id="54" w:name="_Toc22124"/>
      <w:r>
        <w:rPr>
          <w:rFonts w:hint="eastAsia"/>
          <w:color w:val="FF0000"/>
        </w:rPr>
        <w:t>KPC软件参数</w:t>
      </w:r>
      <w:bookmarkEnd w:id="54"/>
    </w:p>
    <w:p>
      <w:pPr>
        <w:ind w:firstLine="480"/>
        <w:rPr>
          <w:color w:val="FF0000"/>
        </w:rPr>
      </w:pPr>
      <w:r>
        <w:rPr>
          <w:rFonts w:hint="eastAsia"/>
          <w:color w:val="FF0000"/>
        </w:rPr>
        <w:t>控制器的主CPU（负责空调逻辑控制、通讯、存储处理等）的标准库、各个外设驱动、操作系统、boot程序等由供应商提供，并具备二次开发条件，应用层软件国祥负责开发；控制器的其他CPU（负责通讯、IO控制处理等）的所有软件功能由供应商提供。</w:t>
      </w:r>
    </w:p>
    <w:p>
      <w:pPr>
        <w:ind w:firstLine="480"/>
        <w:rPr>
          <w:color w:val="FF0000"/>
        </w:rPr>
      </w:pPr>
      <w:r>
        <w:rPr>
          <w:rFonts w:hint="eastAsia"/>
          <w:color w:val="FF0000"/>
        </w:rPr>
        <w:t>由供应商提供的软件，供应商可选择以下任意一种形式进行支持：</w:t>
      </w:r>
    </w:p>
    <w:p>
      <w:pPr>
        <w:ind w:firstLine="480"/>
        <w:rPr>
          <w:color w:val="FF0000"/>
        </w:rPr>
      </w:pPr>
      <w:r>
        <w:rPr>
          <w:rFonts w:hint="eastAsia"/>
          <w:color w:val="FF0000"/>
        </w:rPr>
        <w:t>1.提供所有源码以及配套的设计说明文档，并提供必要的开发培训，此种形式后期代码维护和升级开发由国祥统一负责。</w:t>
      </w:r>
    </w:p>
    <w:p>
      <w:pPr>
        <w:ind w:firstLine="480"/>
        <w:rPr>
          <w:color w:val="FF0000"/>
        </w:rPr>
      </w:pPr>
      <w:r>
        <w:rPr>
          <w:rFonts w:hint="eastAsia"/>
          <w:color w:val="FF0000"/>
        </w:rPr>
        <w:t>2.不开放源码仅提供固件库及相关的软件接口设计说明文档，并提供必要的开发培训，此种形式后期代码维护和升级以及相关故障处理由供应商负责，供应商需按照国祥要求不断对固件库的功能进行完善以达到项目设计需求，固件库升级需要提供相关固件库，升级工具（包括软硬件工具），相关说明文档，必要时供应商派人到现场进行软件更新培训工作。</w:t>
      </w:r>
    </w:p>
    <w:p>
      <w:pPr>
        <w:ind w:firstLine="480"/>
        <w:rPr>
          <w:color w:val="FF0000"/>
        </w:rPr>
      </w:pPr>
      <w:r>
        <w:rPr>
          <w:rFonts w:hint="eastAsia"/>
          <w:color w:val="FF0000"/>
        </w:rPr>
        <w:t>供应商在控制器出厂前应将相关软件部署完毕交由国祥进行二次开发工作，国祥在进行二次开发时，供应商需要提供技术支持，必要时进行现场接口联调和开发，由供应商提供的软件固件库的版本需提供接口给应用层程序读取以便对固件库进行版本管理。</w:t>
      </w:r>
    </w:p>
    <w:p>
      <w:pPr>
        <w:ind w:firstLine="480"/>
        <w:rPr>
          <w:color w:val="FF0000"/>
        </w:rPr>
      </w:pPr>
      <w:r>
        <w:rPr>
          <w:rFonts w:hint="eastAsia"/>
          <w:color w:val="FF0000"/>
        </w:rPr>
        <w:t>详细功能要求可在项目执行阶段通过软件需求文档进行要求。</w:t>
      </w:r>
    </w:p>
    <w:p>
      <w:pPr>
        <w:pStyle w:val="2"/>
        <w:spacing w:before="240" w:after="120"/>
      </w:pPr>
      <w:bookmarkStart w:id="55" w:name="_Toc12623"/>
      <w:r>
        <w:t>试验要求</w:t>
      </w:r>
      <w:bookmarkEnd w:id="55"/>
    </w:p>
    <w:p>
      <w:pPr>
        <w:ind w:firstLine="480"/>
      </w:pPr>
      <w:r>
        <w:t>下述试验由供应商负责，供应商需向国祥提供进行下述试验的具体时间，以方便国祥技术人员一起参加上述试验，并且供应商需向国祥提供相关试验报告。</w:t>
      </w:r>
    </w:p>
    <w:p>
      <w:pPr>
        <w:pStyle w:val="3"/>
        <w:tabs>
          <w:tab w:val="left" w:pos="0"/>
          <w:tab w:val="clear" w:pos="567"/>
        </w:tabs>
        <w:spacing w:before="120"/>
      </w:pPr>
      <w:bookmarkStart w:id="56" w:name="_Toc12271"/>
      <w:r>
        <w:t>供应商应编制试验大纲，由国祥批准。</w:t>
      </w:r>
      <w:bookmarkEnd w:id="56"/>
    </w:p>
    <w:p>
      <w:pPr>
        <w:ind w:firstLine="480"/>
      </w:pPr>
      <w:r>
        <w:t>例行试验至少要包括以下内容：</w:t>
      </w:r>
    </w:p>
    <w:p>
      <w:pPr>
        <w:ind w:firstLine="480"/>
      </w:pPr>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17</w:t>
      </w:r>
      <w:r>
        <w:rPr>
          <w:color w:val="FF0000"/>
        </w:rPr>
        <w:fldChar w:fldCharType="end"/>
      </w:r>
      <w:r>
        <w:rPr>
          <w:rFonts w:hint="eastAsia"/>
          <w:color w:val="FF0000"/>
        </w:rPr>
        <w:t xml:space="preserve"> 试验清单</w:t>
      </w:r>
    </w:p>
    <w:tbl>
      <w:tblPr>
        <w:tblStyle w:val="60"/>
        <w:tblW w:w="89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701"/>
        <w:gridCol w:w="3260"/>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6"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序号</w:t>
            </w:r>
          </w:p>
        </w:tc>
        <w:tc>
          <w:tcPr>
            <w:tcW w:w="17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试验</w:t>
            </w:r>
          </w:p>
        </w:tc>
        <w:tc>
          <w:tcPr>
            <w:tcW w:w="326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执行标准</w:t>
            </w:r>
          </w:p>
        </w:tc>
        <w:tc>
          <w:tcPr>
            <w:tcW w:w="3194"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待检查项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6"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1</w:t>
            </w:r>
          </w:p>
        </w:tc>
        <w:tc>
          <w:tcPr>
            <w:tcW w:w="17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目检</w:t>
            </w:r>
          </w:p>
        </w:tc>
        <w:tc>
          <w:tcPr>
            <w:tcW w:w="3260"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rPr>
              <w:t>EN50155，13.4.1部分</w:t>
            </w:r>
          </w:p>
        </w:tc>
        <w:tc>
          <w:tcPr>
            <w:tcW w:w="3194"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6"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2</w:t>
            </w:r>
          </w:p>
        </w:tc>
        <w:tc>
          <w:tcPr>
            <w:tcW w:w="17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性能试验</w:t>
            </w:r>
          </w:p>
        </w:tc>
        <w:tc>
          <w:tcPr>
            <w:tcW w:w="3260"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EN50155，13.4.2部分</w:t>
            </w:r>
          </w:p>
        </w:tc>
        <w:tc>
          <w:tcPr>
            <w:tcW w:w="3194"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检查所有输入和输出、通讯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6"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3</w:t>
            </w:r>
          </w:p>
        </w:tc>
        <w:tc>
          <w:tcPr>
            <w:tcW w:w="17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绝缘试验</w:t>
            </w:r>
          </w:p>
        </w:tc>
        <w:tc>
          <w:tcPr>
            <w:tcW w:w="3260"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EN50155，13.4.9部分</w:t>
            </w:r>
          </w:p>
        </w:tc>
        <w:tc>
          <w:tcPr>
            <w:tcW w:w="3194"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绝缘</w:t>
            </w:r>
          </w:p>
        </w:tc>
      </w:tr>
    </w:tbl>
    <w:p>
      <w:pPr>
        <w:ind w:firstLine="480"/>
      </w:pPr>
      <w:r>
        <w:t>型式试验至少包括以下内容：</w:t>
      </w:r>
    </w:p>
    <w:tbl>
      <w:tblPr>
        <w:tblStyle w:val="60"/>
        <w:tblW w:w="8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701"/>
        <w:gridCol w:w="2268"/>
        <w:gridCol w:w="4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序号</w:t>
            </w:r>
          </w:p>
        </w:tc>
        <w:tc>
          <w:tcPr>
            <w:tcW w:w="1701"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试验</w:t>
            </w:r>
          </w:p>
        </w:tc>
        <w:tc>
          <w:tcPr>
            <w:tcW w:w="2268"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执行标准</w:t>
            </w:r>
          </w:p>
        </w:tc>
        <w:tc>
          <w:tcPr>
            <w:tcW w:w="4212"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待检查项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目检</w:t>
            </w:r>
          </w:p>
        </w:tc>
        <w:tc>
          <w:tcPr>
            <w:tcW w:w="226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rPr>
              <w:t>EN50155，13.4.1部分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2</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性能试验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EN50155，13.4.2部分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检查所有输入和输出、通讯、时钟、和电源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3</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干热试验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EN50155，13.4.5部分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r>
              <w:rPr>
                <w:rFonts w:hint="eastAsia"/>
                <w:lang w:val="en-GB"/>
              </w:rPr>
              <w:t xml:space="preserve">, </w:t>
            </w:r>
            <w:r>
              <w:rPr>
                <w:rFonts w:hint="eastAsia"/>
                <w:color w:val="FF0000"/>
                <w:lang w:val="en-GB"/>
              </w:rPr>
              <w:t>按照循环</w:t>
            </w:r>
            <w:r>
              <w:rPr>
                <w:rFonts w:hint="default"/>
                <w:color w:val="FF0000"/>
                <w:lang w:val="en-GB"/>
              </w:rPr>
              <w:t>B</w:t>
            </w:r>
            <w:r>
              <w:rPr>
                <w:rFonts w:hint="eastAsia"/>
                <w:color w:val="FF0000"/>
                <w:lang w:val="en-GB"/>
              </w:rPr>
              <w:t>试验条件执行。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4</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湿热试验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EN50155，13.4.7部分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5</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绝缘试验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EN50155，13.4.9部分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绝缘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6</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低温存储试验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w:t>
            </w:r>
            <w:r>
              <w:rPr>
                <w:rFonts w:hint="eastAsia"/>
              </w:rPr>
              <w:t>，1</w:t>
            </w:r>
            <w:r>
              <w:rPr>
                <w:rFonts w:hint="default"/>
              </w:rPr>
              <w:t>3.4.6部分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7</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低温启动试验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w:t>
            </w:r>
            <w:r>
              <w:rPr>
                <w:rFonts w:hint="eastAsia"/>
              </w:rPr>
              <w:t>，1</w:t>
            </w:r>
            <w:r>
              <w:rPr>
                <w:rFonts w:hint="default"/>
              </w:rPr>
              <w:t>3.4.4部分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8</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振动试验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IEC61373</w:t>
            </w:r>
          </w:p>
        </w:tc>
        <w:tc>
          <w:tcPr>
            <w:tcW w:w="4212" w:type="dxa"/>
            <w:vAlign w:val="center"/>
          </w:tcPr>
          <w:p>
            <w:pPr>
              <w:pStyle w:val="156"/>
              <w:keepNext w:val="0"/>
              <w:keepLines w:val="0"/>
              <w:widowControl/>
              <w:suppressLineNumbers w:val="0"/>
              <w:spacing w:beforeAutospacing="0" w:after="0" w:afterAutospacing="0"/>
              <w:ind w:left="0" w:right="0" w:firstLine="420" w:firstLineChars="200"/>
              <w:jc w:val="left"/>
              <w:rPr>
                <w:rFonts w:hint="default"/>
                <w:color w:val="FF0000"/>
                <w:lang w:val="en-GB"/>
              </w:rPr>
            </w:pPr>
            <w:r>
              <w:rPr>
                <w:rFonts w:hint="eastAsia"/>
                <w:color w:val="FF0000"/>
                <w:lang w:val="en-GB"/>
              </w:rPr>
              <w:t>满足</w:t>
            </w:r>
            <w:r>
              <w:rPr>
                <w:rFonts w:hint="default"/>
                <w:color w:val="FF0000"/>
                <w:lang w:val="en-GB"/>
              </w:rPr>
              <w:t>EN50155</w:t>
            </w:r>
            <w:r>
              <w:rPr>
                <w:rFonts w:hint="eastAsia"/>
                <w:color w:val="FF0000"/>
                <w:lang w:val="en-GB"/>
              </w:rPr>
              <w:t>：</w:t>
            </w:r>
            <w:r>
              <w:rPr>
                <w:rFonts w:hint="default"/>
                <w:color w:val="FF0000"/>
                <w:lang w:val="en-GB"/>
              </w:rPr>
              <w:t>13.4.9</w:t>
            </w:r>
            <w:r>
              <w:rPr>
                <w:rFonts w:hint="eastAsia"/>
                <w:color w:val="FF0000"/>
                <w:lang w:val="en-GB"/>
              </w:rPr>
              <w:t>节（</w:t>
            </w:r>
            <w:r>
              <w:rPr>
                <w:rFonts w:hint="default"/>
                <w:color w:val="FF0000"/>
                <w:lang w:val="en-GB"/>
              </w:rPr>
              <w:t>EN61373</w:t>
            </w:r>
            <w:r>
              <w:rPr>
                <w:rFonts w:hint="eastAsia"/>
                <w:color w:val="FF0000"/>
                <w:lang w:val="en-GB"/>
              </w:rPr>
              <w:t>中</w:t>
            </w:r>
            <w:r>
              <w:rPr>
                <w:rFonts w:hint="default"/>
                <w:color w:val="FF0000"/>
                <w:lang w:val="en-GB"/>
              </w:rPr>
              <w:t>1</w:t>
            </w:r>
            <w:r>
              <w:rPr>
                <w:rFonts w:hint="eastAsia"/>
                <w:color w:val="FF0000"/>
                <w:lang w:val="en-GB"/>
              </w:rPr>
              <w:t>类</w:t>
            </w:r>
            <w:r>
              <w:rPr>
                <w:rFonts w:hint="default"/>
                <w:color w:val="FF0000"/>
                <w:lang w:val="en-GB"/>
              </w:rPr>
              <w:t>B</w:t>
            </w:r>
            <w:r>
              <w:rPr>
                <w:rFonts w:hint="eastAsia"/>
                <w:color w:val="FF0000"/>
                <w:lang w:val="en-GB"/>
              </w:rPr>
              <w:t>级）要求，试验需在第三方试验室进行并出具报告，且试验室试验室需具有</w:t>
            </w:r>
            <w:r>
              <w:rPr>
                <w:rFonts w:hint="default"/>
                <w:color w:val="FF0000"/>
                <w:lang w:val="en-GB"/>
              </w:rPr>
              <w:t>CNAS</w:t>
            </w:r>
            <w:r>
              <w:rPr>
                <w:rFonts w:hint="eastAsia"/>
                <w:color w:val="FF0000"/>
                <w:lang w:val="en-GB"/>
              </w:rPr>
              <w:t>及相应标准资格认证。</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eastAsia"/>
                <w:color w:val="FF0000"/>
                <w:lang w:val="en-GB"/>
              </w:rPr>
              <w:t>1模拟长寿命试验</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eastAsia"/>
                <w:color w:val="FF0000"/>
                <w:lang w:val="en-GB"/>
              </w:rPr>
              <w:t>2冲击试验</w:t>
            </w:r>
          </w:p>
          <w:p>
            <w:pPr>
              <w:pStyle w:val="156"/>
              <w:keepNext w:val="0"/>
              <w:keepLines w:val="0"/>
              <w:widowControl/>
              <w:suppressLineNumbers w:val="0"/>
              <w:spacing w:beforeAutospacing="0" w:after="0" w:afterAutospacing="0"/>
              <w:ind w:left="0" w:right="0"/>
              <w:jc w:val="left"/>
              <w:rPr>
                <w:rFonts w:hint="default"/>
                <w:lang w:val="en-GB"/>
              </w:rPr>
            </w:pPr>
            <w:r>
              <w:rPr>
                <w:rFonts w:hint="eastAsia"/>
                <w:color w:val="FF0000"/>
                <w:lang w:val="en-GB"/>
              </w:rPr>
              <w:t>3功能性随机振动试验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9</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EMC试验</w:t>
            </w:r>
          </w:p>
        </w:tc>
        <w:tc>
          <w:tcPr>
            <w:tcW w:w="2268" w:type="dxa"/>
            <w:vAlign w:val="center"/>
          </w:tcPr>
          <w:p>
            <w:pPr>
              <w:pStyle w:val="156"/>
              <w:keepNext w:val="0"/>
              <w:keepLines w:val="0"/>
              <w:widowControl/>
              <w:suppressLineNumbers w:val="0"/>
              <w:spacing w:beforeAutospacing="0" w:after="0" w:afterAutospacing="0"/>
              <w:ind w:left="0" w:right="0"/>
              <w:jc w:val="left"/>
              <w:rPr>
                <w:rFonts w:hint="default"/>
              </w:rPr>
            </w:pPr>
            <w:r>
              <w:rPr>
                <w:rFonts w:hint="default"/>
              </w:rPr>
              <w:t>EN 50121-3-2</w:t>
            </w:r>
          </w:p>
          <w:p>
            <w:pPr>
              <w:pStyle w:val="156"/>
              <w:keepNext w:val="0"/>
              <w:keepLines w:val="0"/>
              <w:widowControl/>
              <w:suppressLineNumbers w:val="0"/>
              <w:spacing w:beforeAutospacing="0" w:after="0" w:afterAutospacing="0"/>
              <w:ind w:left="0" w:right="0"/>
              <w:jc w:val="left"/>
              <w:rPr>
                <w:rFonts w:hint="default"/>
              </w:rPr>
            </w:pPr>
            <w:r>
              <w:rPr>
                <w:rFonts w:hint="eastAsia"/>
              </w:rPr>
              <w:t>EN</w:t>
            </w:r>
            <w:r>
              <w:rPr>
                <w:rFonts w:hint="default"/>
              </w:rPr>
              <w:t xml:space="preserve"> 50155</w:t>
            </w:r>
          </w:p>
          <w:p>
            <w:pPr>
              <w:pStyle w:val="156"/>
              <w:keepNext w:val="0"/>
              <w:keepLines w:val="0"/>
              <w:widowControl/>
              <w:suppressLineNumbers w:val="0"/>
              <w:spacing w:beforeAutospacing="0" w:after="0" w:afterAutospacing="0"/>
              <w:ind w:left="0" w:right="0"/>
              <w:jc w:val="left"/>
              <w:rPr>
                <w:rFonts w:hint="default"/>
              </w:rPr>
            </w:pPr>
            <w:r>
              <w:rPr>
                <w:rFonts w:hint="eastAsia"/>
                <w:color w:val="FF0000"/>
                <w:lang w:val="en-GB"/>
              </w:rPr>
              <w:t>《</w:t>
            </w:r>
            <w:r>
              <w:rPr>
                <w:rFonts w:hint="default"/>
                <w:color w:val="FF0000"/>
                <w:lang w:val="en-GB"/>
              </w:rPr>
              <w:t xml:space="preserve">BZDT1111-CG-G100-001 </w:t>
            </w:r>
            <w:r>
              <w:rPr>
                <w:rFonts w:hint="eastAsia"/>
                <w:color w:val="FF0000"/>
                <w:lang w:val="en-GB"/>
              </w:rPr>
              <w:t>系列化中国标准地铁列车研制及试验项目电磁兼容通用技术条件》</w:t>
            </w:r>
          </w:p>
        </w:tc>
        <w:tc>
          <w:tcPr>
            <w:tcW w:w="4212" w:type="dxa"/>
            <w:vAlign w:val="center"/>
          </w:tcPr>
          <w:p>
            <w:pPr>
              <w:pStyle w:val="156"/>
              <w:keepNext w:val="0"/>
              <w:keepLines w:val="0"/>
              <w:widowControl/>
              <w:suppressLineNumbers w:val="0"/>
              <w:spacing w:beforeAutospacing="0" w:after="0" w:afterAutospacing="0"/>
              <w:ind w:left="0" w:right="0" w:firstLine="480"/>
              <w:jc w:val="left"/>
              <w:rPr>
                <w:rFonts w:hint="default"/>
                <w:color w:val="FF0000"/>
                <w:lang w:val="en-GB"/>
              </w:rPr>
            </w:pPr>
            <w:r>
              <w:rPr>
                <w:rFonts w:hint="eastAsia"/>
                <w:color w:val="FF0000"/>
                <w:lang w:val="en-GB"/>
              </w:rPr>
              <w:t>满足《</w:t>
            </w:r>
            <w:r>
              <w:rPr>
                <w:rFonts w:hint="default"/>
                <w:color w:val="FF0000"/>
                <w:lang w:val="en-GB"/>
              </w:rPr>
              <w:t xml:space="preserve">BZDT1111-CG-G100-001 </w:t>
            </w:r>
            <w:r>
              <w:rPr>
                <w:rFonts w:hint="eastAsia"/>
                <w:color w:val="FF0000"/>
                <w:lang w:val="en-GB"/>
              </w:rPr>
              <w:t>系列化中国标准地铁列车研制及试验项目电磁兼容通用技术条件》要求，试验需在第三方试验室进行并出具报告，且试验室试验室需具有CNAS及相应标准资格认证。</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default"/>
                <w:color w:val="FF0000"/>
                <w:lang w:val="en-GB"/>
              </w:rPr>
              <w:t>1传导</w:t>
            </w:r>
            <w:r>
              <w:rPr>
                <w:rFonts w:hint="eastAsia"/>
                <w:color w:val="FF0000"/>
                <w:lang w:val="en-GB"/>
              </w:rPr>
              <w:t>发射</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default"/>
                <w:color w:val="FF0000"/>
                <w:lang w:val="en-GB"/>
              </w:rPr>
              <w:t>2辐射</w:t>
            </w:r>
            <w:r>
              <w:rPr>
                <w:rFonts w:hint="eastAsia"/>
                <w:color w:val="FF0000"/>
                <w:lang w:val="en-GB"/>
              </w:rPr>
              <w:t>电场发射</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default"/>
                <w:color w:val="FF0000"/>
                <w:lang w:val="en-GB"/>
              </w:rPr>
              <w:t>3</w:t>
            </w:r>
            <w:r>
              <w:rPr>
                <w:rFonts w:hint="eastAsia"/>
                <w:color w:val="FF0000"/>
                <w:lang w:val="en-GB"/>
              </w:rPr>
              <w:t>射频电磁场辐射</w:t>
            </w:r>
            <w:r>
              <w:rPr>
                <w:rFonts w:hint="default"/>
                <w:color w:val="FF0000"/>
                <w:lang w:val="en-GB"/>
              </w:rPr>
              <w:t>抗扰度</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default"/>
                <w:color w:val="FF0000"/>
                <w:lang w:val="en-GB"/>
              </w:rPr>
              <w:t>4</w:t>
            </w:r>
            <w:r>
              <w:rPr>
                <w:rFonts w:hint="eastAsia"/>
                <w:color w:val="FF0000"/>
                <w:lang w:val="en-GB"/>
              </w:rPr>
              <w:t>射频场感应的传导骚扰抗扰度</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default"/>
                <w:color w:val="FF0000"/>
                <w:lang w:val="en-GB"/>
              </w:rPr>
              <w:t>5</w:t>
            </w:r>
            <w:r>
              <w:rPr>
                <w:rFonts w:hint="eastAsia"/>
                <w:color w:val="FF0000"/>
                <w:lang w:val="en-GB"/>
              </w:rPr>
              <w:t>电快速瞬变脉冲群抗扰度</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default"/>
                <w:color w:val="FF0000"/>
                <w:lang w:val="en-GB"/>
              </w:rPr>
              <w:t>6</w:t>
            </w:r>
            <w:r>
              <w:rPr>
                <w:rFonts w:hint="eastAsia"/>
                <w:color w:val="FF0000"/>
                <w:lang w:val="en-GB"/>
              </w:rPr>
              <w:t>浪涌抗扰度</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default"/>
                <w:color w:val="FF0000"/>
                <w:lang w:val="en-GB"/>
              </w:rPr>
              <w:t>7静电放电抗扰度</w:t>
            </w:r>
          </w:p>
          <w:p>
            <w:pPr>
              <w:pStyle w:val="156"/>
              <w:keepNext w:val="0"/>
              <w:keepLines w:val="0"/>
              <w:widowControl/>
              <w:suppressLineNumbers w:val="0"/>
              <w:spacing w:beforeAutospacing="0" w:after="0" w:afterAutospacing="0"/>
              <w:ind w:left="0" w:right="0"/>
              <w:jc w:val="left"/>
              <w:rPr>
                <w:rFonts w:hint="default"/>
                <w:color w:val="FF0000"/>
                <w:lang w:val="en-GB"/>
              </w:rPr>
            </w:pPr>
            <w:r>
              <w:rPr>
                <w:rFonts w:hint="default"/>
                <w:color w:val="FF0000"/>
                <w:lang w:val="en-GB"/>
              </w:rPr>
              <w:t>8</w:t>
            </w:r>
            <w:r>
              <w:rPr>
                <w:rFonts w:hint="eastAsia"/>
                <w:color w:val="FF0000"/>
                <w:lang w:val="en-GB"/>
              </w:rPr>
              <w:t>工频磁场抗扰度</w:t>
            </w:r>
            <w:r>
              <w:rPr>
                <w:rFonts w:hint="default"/>
                <w:color w:val="FF0000"/>
                <w:lang w:val="en-GB"/>
              </w:rPr>
              <w:t>试验</w:t>
            </w:r>
          </w:p>
          <w:p>
            <w:pPr>
              <w:pStyle w:val="156"/>
              <w:keepNext w:val="0"/>
              <w:keepLines w:val="0"/>
              <w:widowControl/>
              <w:suppressLineNumbers w:val="0"/>
              <w:spacing w:beforeAutospacing="0" w:after="0" w:afterAutospacing="0"/>
              <w:ind w:left="0" w:right="0"/>
              <w:jc w:val="left"/>
              <w:rPr>
                <w:rFonts w:hint="default"/>
                <w:lang w:val="en-GB"/>
              </w:rPr>
            </w:pPr>
            <w:r>
              <w:rPr>
                <w:rFonts w:hint="default"/>
                <w:color w:val="FF0000"/>
                <w:lang w:val="en-GB"/>
              </w:rPr>
              <w:t>9</w:t>
            </w:r>
            <w:r>
              <w:rPr>
                <w:rFonts w:hint="eastAsia"/>
                <w:color w:val="FF0000"/>
                <w:lang w:val="en-GB"/>
              </w:rPr>
              <w:t>电压暂降、短时中断和电压变化抗扰度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10</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长周期</w:t>
            </w:r>
            <w:r>
              <w:rPr>
                <w:rFonts w:hint="default"/>
                <w:lang w:val="en-GB"/>
              </w:rPr>
              <w:t>通断电试验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c>
          <w:tcPr>
            <w:tcW w:w="4212" w:type="dxa"/>
            <w:vAlign w:val="center"/>
          </w:tcPr>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12个小时</w:t>
            </w:r>
            <w:r>
              <w:rPr>
                <w:rFonts w:hint="default"/>
                <w:lang w:val="en-GB"/>
              </w:rPr>
              <w:t>连续通断电，</w:t>
            </w:r>
            <w:r>
              <w:rPr>
                <w:rFonts w:hint="eastAsia"/>
                <w:lang w:val="en-GB"/>
              </w:rPr>
              <w:t>每30</w:t>
            </w:r>
            <w:r>
              <w:rPr>
                <w:rFonts w:hint="default"/>
                <w:lang w:val="en-GB"/>
              </w:rPr>
              <w:t>S通断电</w:t>
            </w:r>
            <w:r>
              <w:rPr>
                <w:rFonts w:hint="eastAsia"/>
                <w:lang w:val="en-GB"/>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11</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盐雾试验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eastAsia"/>
                <w:color w:val="FF0000"/>
              </w:rPr>
              <w:t>IEC60571</w:t>
            </w:r>
          </w:p>
        </w:tc>
        <w:tc>
          <w:tcPr>
            <w:tcW w:w="4212" w:type="dxa"/>
            <w:vAlign w:val="center"/>
          </w:tcPr>
          <w:p>
            <w:pPr>
              <w:pStyle w:val="156"/>
              <w:keepNext w:val="0"/>
              <w:keepLines w:val="0"/>
              <w:widowControl/>
              <w:suppressLineNumbers w:val="0"/>
              <w:spacing w:beforeAutospacing="0" w:after="0" w:afterAutospacing="0"/>
              <w:ind w:left="0" w:right="0"/>
              <w:jc w:val="left"/>
              <w:rPr>
                <w:rFonts w:hint="default"/>
                <w:lang w:val="en-GB"/>
              </w:rPr>
            </w:pPr>
            <w:r>
              <w:rPr>
                <w:rFonts w:hint="default"/>
                <w:color w:val="FF0000"/>
                <w:lang w:val="en-GB"/>
              </w:rPr>
              <w:t>PCB</w:t>
            </w:r>
            <w:r>
              <w:rPr>
                <w:rFonts w:hint="eastAsia"/>
                <w:color w:val="FF0000"/>
                <w:lang w:val="en-GB"/>
              </w:rPr>
              <w:t>板满足</w:t>
            </w:r>
            <w:r>
              <w:rPr>
                <w:rFonts w:hint="default"/>
                <w:color w:val="FF0000"/>
                <w:lang w:val="en-GB"/>
              </w:rPr>
              <w:t>IEC 60571</w:t>
            </w:r>
            <w:r>
              <w:rPr>
                <w:rFonts w:hint="eastAsia"/>
                <w:color w:val="FF0000"/>
                <w:lang w:val="en-GB"/>
              </w:rPr>
              <w:t>：</w:t>
            </w:r>
            <w:r>
              <w:rPr>
                <w:rFonts w:hint="default"/>
                <w:color w:val="FF0000"/>
                <w:lang w:val="en-GB"/>
              </w:rPr>
              <w:t>12.2.11</w:t>
            </w:r>
            <w:r>
              <w:rPr>
                <w:rFonts w:hint="eastAsia"/>
                <w:color w:val="FF0000"/>
                <w:lang w:val="en-GB"/>
              </w:rPr>
              <w:t>（</w:t>
            </w:r>
            <w:r>
              <w:rPr>
                <w:rFonts w:hint="default"/>
                <w:color w:val="FF0000"/>
                <w:lang w:val="en-GB"/>
              </w:rPr>
              <w:t>ST4</w:t>
            </w:r>
            <w:r>
              <w:rPr>
                <w:rFonts w:hint="eastAsia"/>
                <w:color w:val="FF0000"/>
                <w:lang w:val="en-GB"/>
              </w:rPr>
              <w:t>等级）要求</w:t>
            </w:r>
          </w:p>
        </w:tc>
      </w:tr>
    </w:tbl>
    <w:p>
      <w:pPr>
        <w:ind w:firstLine="480"/>
      </w:pPr>
      <w:r>
        <w:t>当控制器硬件变动时，如涉及到EMC电气改动，需根据项目要求进行型式试验。</w:t>
      </w:r>
    </w:p>
    <w:p>
      <w:pPr>
        <w:pStyle w:val="2"/>
        <w:spacing w:before="240" w:after="120"/>
      </w:pPr>
      <w:bookmarkStart w:id="57" w:name="_Toc9768"/>
      <w:r>
        <w:t>供应商的工作</w:t>
      </w:r>
      <w:bookmarkEnd w:id="57"/>
    </w:p>
    <w:p>
      <w:pPr>
        <w:pStyle w:val="3"/>
        <w:tabs>
          <w:tab w:val="left" w:pos="0"/>
          <w:tab w:val="clear" w:pos="567"/>
        </w:tabs>
        <w:spacing w:before="120"/>
      </w:pPr>
      <w:bookmarkStart w:id="58" w:name="_Toc19805"/>
      <w:r>
        <w:t>根据国祥提供的技术条件进行试制。</w:t>
      </w:r>
      <w:bookmarkEnd w:id="58"/>
    </w:p>
    <w:p>
      <w:pPr>
        <w:pStyle w:val="3"/>
        <w:tabs>
          <w:tab w:val="left" w:pos="0"/>
          <w:tab w:val="clear" w:pos="567"/>
        </w:tabs>
        <w:spacing w:before="120"/>
      </w:pPr>
      <w:bookmarkStart w:id="59" w:name="_Toc22923"/>
      <w:r>
        <w:t>编制型式试验和例行试验大纲。</w:t>
      </w:r>
      <w:bookmarkEnd w:id="59"/>
    </w:p>
    <w:p>
      <w:pPr>
        <w:ind w:firstLine="480"/>
      </w:pPr>
      <w:r>
        <w:t>根据本技术条件，编制型式试验和例行试验大纲，并提交国祥进行审查。</w:t>
      </w:r>
    </w:p>
    <w:p>
      <w:pPr>
        <w:pStyle w:val="3"/>
        <w:tabs>
          <w:tab w:val="left" w:pos="0"/>
          <w:tab w:val="clear" w:pos="567"/>
        </w:tabs>
        <w:spacing w:before="120"/>
      </w:pPr>
      <w:bookmarkStart w:id="60" w:name="_Toc4427"/>
      <w:r>
        <w:t>提交材料证明报告</w:t>
      </w:r>
      <w:bookmarkEnd w:id="60"/>
    </w:p>
    <w:p>
      <w:pPr>
        <w:ind w:firstLine="480"/>
      </w:pPr>
      <w:r>
        <w:t>对所有使用的材料必须给出牌号、名称、采用标准及应用部件，并列出清单。</w:t>
      </w:r>
    </w:p>
    <w:p>
      <w:pPr>
        <w:ind w:firstLine="480"/>
        <w:rPr>
          <w:color w:val="FF0000"/>
        </w:rPr>
      </w:pPr>
      <w:bookmarkStart w:id="61" w:name="_Toc129753793"/>
      <w:bookmarkStart w:id="62" w:name="_Toc153771783"/>
      <w:r>
        <w:rPr>
          <w:rFonts w:hint="eastAsia"/>
          <w:color w:val="FF0000"/>
        </w:rPr>
        <w:t>PCB板提供EN45545-2 R24/R25(HL3)等级报告，其他非金属材料提供R22/R23/R26 (HL3)等级报告。</w:t>
      </w:r>
    </w:p>
    <w:p>
      <w:pPr>
        <w:ind w:firstLine="480"/>
      </w:pPr>
      <w:r>
        <w:t>禁止使用以下材料</w:t>
      </w:r>
      <w:bookmarkEnd w:id="61"/>
      <w:bookmarkEnd w:id="62"/>
      <w:r>
        <w:t>：PVC、石棉或包含石棉的材料、玻璃纤维、铅（包括铅钼合金）、胶合板、木板、热塑薄板、PCBs（多氯联苯）、PCT（聚己内酰胺）、CHC（含氯氟烃）、聚亚氨脂泡沫材料、铝螺纹紧固件、抗微生物剂、公共交通运输标准所禁止使用的材料。</w:t>
      </w:r>
    </w:p>
    <w:p>
      <w:pPr>
        <w:pStyle w:val="3"/>
        <w:tabs>
          <w:tab w:val="left" w:pos="0"/>
          <w:tab w:val="clear" w:pos="567"/>
        </w:tabs>
        <w:spacing w:before="120"/>
      </w:pPr>
      <w:bookmarkStart w:id="63" w:name="_Toc28703"/>
      <w:r>
        <w:t>型式试验和例行试验</w:t>
      </w:r>
      <w:bookmarkEnd w:id="63"/>
    </w:p>
    <w:p>
      <w:pPr>
        <w:ind w:firstLine="480"/>
      </w:pPr>
      <w:r>
        <w:t>根据已确定的试验大纲，按要求进行各种试验并提交试验报告。</w:t>
      </w:r>
    </w:p>
    <w:p>
      <w:pPr>
        <w:pStyle w:val="3"/>
        <w:tabs>
          <w:tab w:val="left" w:pos="0"/>
          <w:tab w:val="clear" w:pos="567"/>
        </w:tabs>
        <w:spacing w:before="120"/>
      </w:pPr>
      <w:bookmarkStart w:id="64" w:name="_Toc12445"/>
      <w:r>
        <w:t>供货试装车，配合运行考核及负责可能的整改。</w:t>
      </w:r>
      <w:bookmarkEnd w:id="64"/>
    </w:p>
    <w:p>
      <w:pPr>
        <w:pStyle w:val="2"/>
        <w:spacing w:before="240" w:after="120"/>
      </w:pPr>
      <w:bookmarkStart w:id="65" w:name="_Toc19109"/>
      <w:r>
        <w:t>技术资料及随机提供物品</w:t>
      </w:r>
      <w:bookmarkEnd w:id="65"/>
    </w:p>
    <w:p>
      <w:pPr>
        <w:pStyle w:val="3"/>
        <w:tabs>
          <w:tab w:val="left" w:pos="0"/>
          <w:tab w:val="clear" w:pos="567"/>
        </w:tabs>
        <w:spacing w:before="120"/>
      </w:pPr>
      <w:bookmarkStart w:id="66" w:name="_Toc21175"/>
      <w:r>
        <w:t>技术文件</w:t>
      </w:r>
      <w:bookmarkEnd w:id="66"/>
    </w:p>
    <w:p>
      <w:pPr>
        <w:pStyle w:val="16"/>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18</w:t>
      </w:r>
      <w:r>
        <w:rPr>
          <w:color w:val="FF0000"/>
        </w:rPr>
        <w:fldChar w:fldCharType="end"/>
      </w:r>
      <w:r>
        <w:rPr>
          <w:rFonts w:hint="eastAsia"/>
          <w:color w:val="FF0000"/>
        </w:rPr>
        <w:t xml:space="preserve"> 技术文件清单</w:t>
      </w:r>
    </w:p>
    <w:tbl>
      <w:tblPr>
        <w:tblStyle w:val="6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254"/>
        <w:gridCol w:w="1554"/>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序号</w:t>
            </w:r>
          </w:p>
        </w:tc>
        <w:tc>
          <w:tcPr>
            <w:tcW w:w="3254"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要求</w:t>
            </w:r>
          </w:p>
        </w:tc>
        <w:tc>
          <w:tcPr>
            <w:tcW w:w="1554"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随主机提供</w:t>
            </w:r>
          </w:p>
        </w:tc>
        <w:tc>
          <w:tcPr>
            <w:tcW w:w="2670"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首批前提供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1</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例行实验大纲</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2</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例行实验报告（出厂）</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3</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型式实验大纲</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4</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型式实验报告</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1277" w:type="dxa"/>
            <w:tcBorders>
              <w:bottom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5</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烟火报告</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6</w:t>
            </w:r>
          </w:p>
        </w:tc>
        <w:tc>
          <w:tcPr>
            <w:tcW w:w="325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用户手册（使用维护与保养说明书）</w:t>
            </w:r>
          </w:p>
        </w:tc>
        <w:tc>
          <w:tcPr>
            <w:tcW w:w="1554"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Borders>
              <w:top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7</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合格证</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8</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签字版CBC（技术条件相应）</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9</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关键零部件清单</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10</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三维模型及二维图纸</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ascii="宋体" w:hAnsi="宋体"/>
                <w:color w:val="FF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11</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color w:val="FF0000"/>
                <w:sz w:val="24"/>
              </w:rPr>
            </w:pPr>
            <w:r>
              <w:rPr>
                <w:rFonts w:hint="eastAsia"/>
                <w:color w:val="FF0000"/>
                <w:sz w:val="24"/>
              </w:rPr>
              <w:t>部件应用的支撑资料（硬件图纸、软件驱动、调试软件等）</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color w:val="FF0000"/>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ascii="宋体" w:hAnsi="宋体"/>
                <w:color w:val="FF0000"/>
                <w:sz w:val="24"/>
              </w:rPr>
            </w:pPr>
            <w:r>
              <w:rPr>
                <w:rFonts w:hint="eastAsia" w:ascii="宋体" w:hAnsi="宋体"/>
                <w:color w:val="FF0000"/>
                <w:sz w:val="24"/>
              </w:rPr>
              <w:t>根据项目应用具体情况，如需要，则国祥会再次提起具体清单。</w:t>
            </w:r>
          </w:p>
        </w:tc>
      </w:tr>
    </w:tbl>
    <w:p>
      <w:pPr>
        <w:ind w:firstLine="480"/>
        <w:rPr>
          <w:color w:val="FF0000"/>
        </w:rPr>
      </w:pPr>
      <w:r>
        <w:rPr>
          <w:rFonts w:hint="eastAsia"/>
          <w:color w:val="FF0000"/>
        </w:rPr>
        <w:t>注1：至少应包含1.部件原理介绍，拓扑图；2.详细接口定义；3.外形尺寸二维图纸；4.部件参数列表及说明；5.使用注意事项；6.装箱清单；7.RAMS技术文件；</w:t>
      </w:r>
    </w:p>
    <w:p>
      <w:pPr>
        <w:ind w:firstLine="480"/>
        <w:rPr>
          <w:color w:val="FF0000"/>
        </w:rPr>
      </w:pPr>
      <w:r>
        <w:rPr>
          <w:rFonts w:hint="eastAsia"/>
          <w:color w:val="FF0000"/>
        </w:rPr>
        <w:t>注2：外形轮廓、安装尺寸等标注齐全、清晰，需标注公差。</w:t>
      </w:r>
    </w:p>
    <w:p>
      <w:pPr>
        <w:ind w:firstLine="480"/>
        <w:rPr>
          <w:color w:val="FF0000"/>
        </w:rPr>
      </w:pPr>
      <w:r>
        <w:rPr>
          <w:rFonts w:hint="eastAsia"/>
          <w:color w:val="FF0000"/>
        </w:rPr>
        <w:t>注3：检修周期，检修维护的步骤、使用的工具以及易损易耗件清单。</w:t>
      </w:r>
    </w:p>
    <w:p>
      <w:pPr>
        <w:pStyle w:val="3"/>
        <w:tabs>
          <w:tab w:val="left" w:pos="0"/>
          <w:tab w:val="clear" w:pos="567"/>
        </w:tabs>
        <w:spacing w:before="120"/>
      </w:pPr>
      <w:bookmarkStart w:id="67" w:name="_Toc15863"/>
      <w:r>
        <w:t>合格证</w:t>
      </w:r>
      <w:bookmarkEnd w:id="67"/>
    </w:p>
    <w:p>
      <w:pPr>
        <w:ind w:firstLine="480"/>
      </w:pPr>
      <w:r>
        <w:t>a. 制造工厂名称；</w:t>
      </w:r>
    </w:p>
    <w:p>
      <w:pPr>
        <w:ind w:firstLine="480"/>
      </w:pPr>
      <w:r>
        <w:t>b. 产品名称、规格；</w:t>
      </w:r>
    </w:p>
    <w:p>
      <w:pPr>
        <w:ind w:firstLine="480"/>
      </w:pPr>
      <w:r>
        <w:t>c. 制造日期（年月日）；</w:t>
      </w:r>
    </w:p>
    <w:p>
      <w:pPr>
        <w:ind w:firstLine="480"/>
      </w:pPr>
      <w:r>
        <w:t>d. 产品编号；</w:t>
      </w:r>
    </w:p>
    <w:p>
      <w:pPr>
        <w:ind w:firstLine="480"/>
      </w:pPr>
      <w:r>
        <w:t>e. 检验人员印章。</w:t>
      </w:r>
    </w:p>
    <w:p>
      <w:pPr>
        <w:pStyle w:val="2"/>
        <w:spacing w:before="240" w:after="120"/>
      </w:pPr>
      <w:bookmarkStart w:id="68" w:name="_Toc8197"/>
      <w:r>
        <w:t>包装及贮存</w:t>
      </w:r>
      <w:bookmarkEnd w:id="68"/>
      <w:r>
        <w:t xml:space="preserve"> </w:t>
      </w:r>
    </w:p>
    <w:p>
      <w:pPr>
        <w:ind w:firstLine="480"/>
      </w:pPr>
      <w:r>
        <w:t xml:space="preserve"> 控制器在制造试验完毕后，应采取有效措施，防止异物进入装置内部。</w:t>
      </w:r>
    </w:p>
    <w:p>
      <w:pPr>
        <w:ind w:firstLine="480"/>
      </w:pPr>
      <w:r>
        <w:t xml:space="preserve"> 包装及发货标志应符合有关规定。</w:t>
      </w:r>
    </w:p>
    <w:p>
      <w:pPr>
        <w:ind w:firstLine="480"/>
      </w:pPr>
      <w:r>
        <w:t xml:space="preserve"> 每台控制器需在外壳固定位置标识生产序列号，方案需提交国祥确认后实施。</w:t>
      </w:r>
    </w:p>
    <w:p>
      <w:pPr>
        <w:ind w:firstLine="480"/>
      </w:pPr>
      <w:r>
        <w:t xml:space="preserve"> 网卡安装螺柱（内螺纹规格M3</w:t>
      </w:r>
      <w:r>
        <w:rPr>
          <w:rFonts w:hint="eastAsia"/>
        </w:rPr>
        <w:t>，高度22.3+8mm</w:t>
      </w:r>
      <w:r>
        <w:t>）4个需安装在控制器内相应的安装孔内，并随控制器一同发货</w:t>
      </w:r>
      <w:r>
        <w:rPr>
          <w:rFonts w:hint="eastAsia"/>
        </w:rPr>
        <w:t>，具体安装螺柱与PC104插座搭配如下：</w:t>
      </w:r>
    </w:p>
    <w:tbl>
      <w:tblPr>
        <w:tblStyle w:val="60"/>
        <w:tblW w:w="9184"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4111"/>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56" w:type="dxa"/>
            <w:vMerge w:val="restart"/>
            <w:shd w:val="clear"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　</w:t>
            </w:r>
          </w:p>
        </w:tc>
        <w:tc>
          <w:tcPr>
            <w:tcW w:w="8328" w:type="dxa"/>
            <w:gridSpan w:val="2"/>
            <w:shd w:val="clear"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加高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56" w:type="dxa"/>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4111" w:type="dxa"/>
            <w:shd w:val="clear"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排母</w:t>
            </w:r>
          </w:p>
        </w:tc>
        <w:tc>
          <w:tcPr>
            <w:tcW w:w="4217" w:type="dxa"/>
            <w:shd w:val="clear"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螺柱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3" w:hRule="atLeast"/>
        </w:trPr>
        <w:tc>
          <w:tcPr>
            <w:tcW w:w="856" w:type="dxa"/>
            <w:shd w:val="clear"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高度如</w:t>
            </w:r>
          </w:p>
          <w:p>
            <w:pPr>
              <w:pStyle w:val="156"/>
              <w:keepNext w:val="0"/>
              <w:keepLines w:val="0"/>
              <w:widowControl/>
              <w:suppressLineNumbers w:val="0"/>
              <w:spacing w:beforeAutospacing="0" w:after="0" w:afterAutospacing="0"/>
              <w:ind w:left="0" w:right="0"/>
              <w:rPr>
                <w:rFonts w:hint="default"/>
              </w:rPr>
            </w:pPr>
            <w:r>
              <w:rPr>
                <w:rFonts w:hint="default"/>
              </w:rPr>
              <w:t>图示</w:t>
            </w:r>
          </w:p>
        </w:tc>
        <w:tc>
          <w:tcPr>
            <w:tcW w:w="4111" w:type="dxa"/>
            <w:shd w:val="clear"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drawing>
                <wp:anchor distT="0" distB="0" distL="114300" distR="114300" simplePos="0" relativeHeight="251662336" behindDoc="0" locked="0" layoutInCell="1" allowOverlap="1">
                  <wp:simplePos x="0" y="0"/>
                  <wp:positionH relativeFrom="column">
                    <wp:posOffset>43815</wp:posOffset>
                  </wp:positionH>
                  <wp:positionV relativeFrom="paragraph">
                    <wp:posOffset>114935</wp:posOffset>
                  </wp:positionV>
                  <wp:extent cx="2400300" cy="1147445"/>
                  <wp:effectExtent l="0" t="0" r="0" b="1460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5"/>
                          <a:srcRect/>
                          <a:stretch>
                            <a:fillRect/>
                          </a:stretch>
                        </pic:blipFill>
                        <pic:spPr>
                          <a:xfrm>
                            <a:off x="0" y="0"/>
                            <a:ext cx="2400300" cy="1147445"/>
                          </a:xfrm>
                          <a:prstGeom prst="rect">
                            <a:avLst/>
                          </a:prstGeom>
                          <a:noFill/>
                          <a:ln w="1">
                            <a:noFill/>
                            <a:miter lim="800000"/>
                            <a:headEnd/>
                            <a:tailEnd type="none" w="med" len="med"/>
                          </a:ln>
                          <a:effectLst/>
                        </pic:spPr>
                      </pic:pic>
                    </a:graphicData>
                  </a:graphic>
                </wp:anchor>
              </w:drawing>
            </w:r>
          </w:p>
        </w:tc>
        <w:tc>
          <w:tcPr>
            <w:tcW w:w="4217" w:type="dxa"/>
            <w:shd w:val="clear"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drawing>
                <wp:anchor distT="0" distB="0" distL="114300" distR="114300" simplePos="0" relativeHeight="251664384" behindDoc="0" locked="0" layoutInCell="1" allowOverlap="1">
                  <wp:simplePos x="0" y="0"/>
                  <wp:positionH relativeFrom="column">
                    <wp:posOffset>884555</wp:posOffset>
                  </wp:positionH>
                  <wp:positionV relativeFrom="paragraph">
                    <wp:posOffset>-562610</wp:posOffset>
                  </wp:positionV>
                  <wp:extent cx="932180" cy="2072640"/>
                  <wp:effectExtent l="0" t="0" r="3810" b="127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6"/>
                          <a:srcRect/>
                          <a:stretch>
                            <a:fillRect/>
                          </a:stretch>
                        </pic:blipFill>
                        <pic:spPr>
                          <a:xfrm rot="5400000">
                            <a:off x="0" y="0"/>
                            <a:ext cx="932180" cy="2072640"/>
                          </a:xfrm>
                          <a:prstGeom prst="rect">
                            <a:avLst/>
                          </a:prstGeom>
                          <a:noFill/>
                          <a:ln w="1">
                            <a:noFill/>
                            <a:miter lim="800000"/>
                            <a:headEnd/>
                            <a:tailEnd type="none" w="med" len="med"/>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856" w:type="dxa"/>
            <w:shd w:val="clear" w:color="auto" w:fill="auto"/>
            <w:vAlign w:val="center"/>
          </w:tcPr>
          <w:p>
            <w:pPr>
              <w:pStyle w:val="156"/>
              <w:keepNext w:val="0"/>
              <w:keepLines w:val="0"/>
              <w:widowControl/>
              <w:suppressLineNumbers w:val="0"/>
              <w:spacing w:beforeAutospacing="0" w:after="0" w:afterAutospacing="0"/>
              <w:ind w:left="0" w:right="0"/>
              <w:rPr>
                <w:rFonts w:hint="default"/>
                <w:color w:val="000000"/>
                <w:kern w:val="0"/>
              </w:rPr>
            </w:pPr>
            <w:r>
              <w:rPr>
                <w:rFonts w:hint="default"/>
                <w:color w:val="000000"/>
                <w:kern w:val="0"/>
              </w:rPr>
              <w:t>数值</w:t>
            </w:r>
            <w:r>
              <w:rPr>
                <w:rFonts w:hint="default"/>
              </w:rPr>
              <w:t>(mm)</w:t>
            </w:r>
          </w:p>
        </w:tc>
        <w:tc>
          <w:tcPr>
            <w:tcW w:w="4111" w:type="dxa"/>
            <w:shd w:val="clear" w:color="auto" w:fill="auto"/>
            <w:vAlign w:val="center"/>
          </w:tcPr>
          <w:p>
            <w:pPr>
              <w:pStyle w:val="156"/>
              <w:keepNext w:val="0"/>
              <w:keepLines w:val="0"/>
              <w:widowControl/>
              <w:suppressLineNumbers w:val="0"/>
              <w:spacing w:beforeAutospacing="0" w:after="0" w:afterAutospacing="0"/>
              <w:ind w:left="0" w:right="0"/>
              <w:rPr>
                <w:rFonts w:hint="default"/>
                <w:b/>
                <w:color w:val="000000"/>
                <w:kern w:val="0"/>
              </w:rPr>
            </w:pPr>
            <w:r>
              <w:rPr>
                <w:rFonts w:hint="default"/>
              </w:rPr>
              <w:t>17.5</w:t>
            </w:r>
          </w:p>
        </w:tc>
        <w:tc>
          <w:tcPr>
            <w:tcW w:w="4217" w:type="dxa"/>
            <w:shd w:val="clear" w:color="auto" w:fill="auto"/>
            <w:vAlign w:val="center"/>
          </w:tcPr>
          <w:p>
            <w:pPr>
              <w:pStyle w:val="156"/>
              <w:keepNext w:val="0"/>
              <w:keepLines w:val="0"/>
              <w:widowControl/>
              <w:suppressLineNumbers w:val="0"/>
              <w:spacing w:beforeAutospacing="0" w:after="0" w:afterAutospacing="0"/>
              <w:ind w:left="0" w:right="0"/>
              <w:rPr>
                <w:rFonts w:hint="default"/>
                <w:b/>
                <w:color w:val="000000"/>
                <w:kern w:val="0"/>
              </w:rPr>
            </w:pPr>
            <w:r>
              <w:rPr>
                <w:rFonts w:hint="default"/>
              </w:rPr>
              <w:t>22.3</w:t>
            </w:r>
          </w:p>
        </w:tc>
      </w:tr>
    </w:tbl>
    <w:p>
      <w:pPr>
        <w:ind w:firstLine="480"/>
      </w:pPr>
      <w:r>
        <w:t xml:space="preserve"> 发货时所有连接器插头应随控制器一起发送；标注型号并粘贴型号于包装上。包装箱内有明确的附件清单。</w:t>
      </w:r>
    </w:p>
    <w:p>
      <w:pPr>
        <w:pStyle w:val="2"/>
        <w:spacing w:before="240" w:after="120"/>
      </w:pPr>
      <w:bookmarkStart w:id="69" w:name="_Toc17374"/>
      <w:r>
        <w:t>其它事项</w:t>
      </w:r>
      <w:bookmarkEnd w:id="69"/>
    </w:p>
    <w:p>
      <w:pPr>
        <w:ind w:firstLine="480"/>
      </w:pPr>
      <w:r>
        <w:t>供应商有义务对直接及间接用户进行培训及现场指导，使用户清楚了解其基本原理、基本结构、使用维护及检修方法。</w:t>
      </w:r>
    </w:p>
    <w:p>
      <w:pPr>
        <w:ind w:firstLine="480"/>
      </w:pPr>
      <w:r>
        <w:t>供应商应及时了解其产品在段运行使用情况，及时改进设计及制造工艺，以提高产品的质量。控制器使用期间，供应商应及时提供技术支持，应在24小时内对发生的质量问题给予答复，并及时提供维修服务。</w:t>
      </w:r>
    </w:p>
    <w:p>
      <w:pPr>
        <w:ind w:firstLine="480"/>
      </w:pPr>
      <w:r>
        <w:t>从样机验证合格后控制器硬件的任何变更都须书面申请，经国祥同意后升级为相应版本。</w:t>
      </w:r>
    </w:p>
    <w:p>
      <w:pPr>
        <w:ind w:firstLine="480"/>
      </w:pPr>
      <w:r>
        <w:t>所有技术条件、图样都应使用中</w:t>
      </w:r>
      <w:r>
        <w:rPr>
          <w:rFonts w:hint="eastAsia"/>
        </w:rPr>
        <w:t>英</w:t>
      </w:r>
      <w:r>
        <w:t>文，字迹清楚，内容完整。</w:t>
      </w:r>
    </w:p>
    <w:p>
      <w:pPr>
        <w:ind w:firstLine="480"/>
      </w:pPr>
      <w:r>
        <w:t>采用此系列控制器模块组装后的平均无故障时间不低于20 0000小时。</w:t>
      </w:r>
    </w:p>
    <w:p>
      <w:pPr>
        <w:ind w:firstLine="480"/>
      </w:pPr>
      <w:r>
        <w:t>技术条件中未尽事宜，另行协商解决。</w:t>
      </w:r>
      <w:r>
        <w:br w:type="page"/>
      </w:r>
    </w:p>
    <w:p>
      <w:pPr>
        <w:pStyle w:val="2"/>
        <w:numPr>
          <w:ilvl w:val="0"/>
          <w:numId w:val="0"/>
        </w:numPr>
        <w:spacing w:before="240" w:after="120"/>
        <w:ind w:left="432" w:hanging="432"/>
        <w:rPr>
          <w:color w:val="FF0000"/>
        </w:rPr>
      </w:pPr>
      <w:bookmarkStart w:id="70" w:name="_Toc6647"/>
      <w:r>
        <w:rPr>
          <w:rFonts w:hint="eastAsia"/>
          <w:color w:val="FF0000"/>
        </w:rPr>
        <w:t>附录1：NTC10K温度传感器阻值对应表</w:t>
      </w:r>
      <w:bookmarkEnd w:id="70"/>
    </w:p>
    <w:p>
      <w:pPr>
        <w:pStyle w:val="16"/>
        <w:ind w:firstLine="400"/>
        <w:jc w:val="center"/>
        <w:rPr>
          <w:color w:val="FF0000"/>
        </w:rPr>
      </w:pPr>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19</w:t>
      </w:r>
      <w:r>
        <w:rPr>
          <w:color w:val="FF0000"/>
        </w:rPr>
        <w:fldChar w:fldCharType="end"/>
      </w:r>
      <w:r>
        <w:rPr>
          <w:rFonts w:hint="eastAsia"/>
          <w:color w:val="FF0000"/>
        </w:rPr>
        <w:t xml:space="preserve"> 温度传感器阻值对应表</w:t>
      </w:r>
    </w:p>
    <w:tbl>
      <w:tblPr>
        <w:tblStyle w:val="60"/>
        <w:tblW w:w="9287" w:type="dxa"/>
        <w:tblInd w:w="0" w:type="dxa"/>
        <w:tblLayout w:type="fixed"/>
        <w:tblCellMar>
          <w:top w:w="0" w:type="dxa"/>
          <w:left w:w="108" w:type="dxa"/>
          <w:bottom w:w="0" w:type="dxa"/>
          <w:right w:w="108" w:type="dxa"/>
        </w:tblCellMar>
      </w:tblPr>
      <w:tblGrid>
        <w:gridCol w:w="1242"/>
        <w:gridCol w:w="1276"/>
        <w:gridCol w:w="1120"/>
        <w:gridCol w:w="1270"/>
        <w:gridCol w:w="1154"/>
        <w:gridCol w:w="1249"/>
        <w:gridCol w:w="707"/>
        <w:gridCol w:w="1269"/>
      </w:tblGrid>
      <w:tr>
        <w:tblPrEx>
          <w:tblLayout w:type="fixed"/>
          <w:tblCellMar>
            <w:top w:w="0" w:type="dxa"/>
            <w:left w:w="108" w:type="dxa"/>
            <w:bottom w:w="0" w:type="dxa"/>
            <w:right w:w="108" w:type="dxa"/>
          </w:tblCellMar>
        </w:tblPrEx>
        <w:trPr>
          <w:trHeight w:val="405" w:hRule="atLeast"/>
        </w:trPr>
        <w:tc>
          <w:tcPr>
            <w:tcW w:w="928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640" w:firstLineChars="0"/>
              <w:jc w:val="center"/>
              <w:rPr>
                <w:rFonts w:hint="default"/>
                <w:color w:val="FF0000"/>
                <w:kern w:val="0"/>
                <w:sz w:val="32"/>
                <w:szCs w:val="32"/>
              </w:rPr>
            </w:pPr>
            <w:r>
              <w:rPr>
                <w:rFonts w:hint="default"/>
                <w:color w:val="FF0000"/>
                <w:kern w:val="0"/>
                <w:sz w:val="32"/>
                <w:szCs w:val="32"/>
              </w:rPr>
              <w:t>NTC</w:t>
            </w:r>
            <w:r>
              <w:rPr>
                <w:rFonts w:hint="eastAsia" w:ascii="宋体" w:hAnsi="宋体"/>
                <w:color w:val="FF0000"/>
                <w:kern w:val="0"/>
                <w:sz w:val="32"/>
                <w:szCs w:val="32"/>
              </w:rPr>
              <w:t>热敏电阻-分度表</w:t>
            </w:r>
          </w:p>
        </w:tc>
      </w:tr>
      <w:tr>
        <w:tblPrEx>
          <w:tblLayout w:type="fixed"/>
          <w:tblCellMar>
            <w:top w:w="0" w:type="dxa"/>
            <w:left w:w="108" w:type="dxa"/>
            <w:bottom w:w="0" w:type="dxa"/>
            <w:right w:w="108" w:type="dxa"/>
          </w:tblCellMar>
        </w:tblPrEx>
        <w:trPr>
          <w:trHeight w:val="405" w:hRule="atLeast"/>
        </w:trPr>
        <w:tc>
          <w:tcPr>
            <w:tcW w:w="3638" w:type="dxa"/>
            <w:gridSpan w:val="3"/>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标称电阻值：R（25℃）=10KΩ　</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　</w:t>
            </w:r>
          </w:p>
        </w:tc>
        <w:tc>
          <w:tcPr>
            <w:tcW w:w="3110"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温度系数（B25/50）=3950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　</w:t>
            </w:r>
          </w:p>
        </w:tc>
      </w:tr>
      <w:tr>
        <w:tblPrEx>
          <w:tblLayout w:type="fixed"/>
          <w:tblCellMar>
            <w:top w:w="0" w:type="dxa"/>
            <w:left w:w="108" w:type="dxa"/>
            <w:bottom w:w="0" w:type="dxa"/>
            <w:right w:w="108" w:type="dxa"/>
          </w:tblCellMar>
        </w:tblPrEx>
        <w:trPr>
          <w:trHeight w:val="561"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温度(℃)</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标准阻值(KΩ)</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温度(℃)</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标准阻值(KΩ)</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温度(℃)</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标准阻值(KΩ)</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温度(℃)</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标准阻值(KΩ)</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322.049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39.798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7.407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1.863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301.964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37.789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7.103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1.800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283.239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35.893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6.813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1.739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265.775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34.103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6.535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1.680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249.482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32.412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6.271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1.623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234.274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30.815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6.019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1.569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220.076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29.305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5.777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1.517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206.815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27.878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5.547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1.466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194.425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26.528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5.327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1.418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182.844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25.251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5.117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1.372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172.017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24.043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4.917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1.327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161.889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22.900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4.725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1.284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152.414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21.817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4.541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1.242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143.545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20.792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4.366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1.202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135.241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19.820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4.198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1.164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127.463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18.900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4.037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1.127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120.176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18.027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3.884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1.091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113.346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17.200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49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3.737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1.057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106.941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16.415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3.596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1.024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100.934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15.670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3.462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0.992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95.298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14.963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3.333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0.961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90.008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14.293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3.209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0.931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85.041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13.656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3.091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0.903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80.376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13.051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2.977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0.875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75.993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12.476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2.869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0.848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71.874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11.929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2.764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0.823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68.001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11.410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2.665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0.798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64.358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10.916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2.569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0.774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60.931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10.446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2.477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0.751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57.705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10.000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2.389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0.728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54.669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9.573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2.304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0.707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51.809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9.168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2.223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99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0.686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49.115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8.781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2.145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100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0.666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46.577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29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8.413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2.070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44.183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8.061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1.999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41.927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31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7.727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67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color w:val="FF0000"/>
                <w:kern w:val="0"/>
                <w:szCs w:val="20"/>
              </w:rPr>
            </w:pPr>
            <w:r>
              <w:rPr>
                <w:rFonts w:hint="eastAsia" w:ascii="宋体" w:hAnsi="宋体" w:cs="宋体"/>
                <w:color w:val="FF0000"/>
                <w:kern w:val="0"/>
                <w:szCs w:val="20"/>
              </w:rPr>
              <w:t xml:space="preserve">1.930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color w:val="FF0000"/>
                <w:kern w:val="0"/>
                <w:szCs w:val="20"/>
              </w:rPr>
            </w:pPr>
            <w:r>
              <w:rPr>
                <w:rFonts w:hint="eastAsia" w:ascii="宋体" w:hAnsi="宋体" w:cs="宋体"/>
                <w:color w:val="FF0000"/>
                <w:kern w:val="0"/>
                <w:szCs w:val="20"/>
              </w:rPr>
              <w:t>　</w:t>
            </w:r>
          </w:p>
        </w:tc>
      </w:tr>
    </w:tbl>
    <w:p>
      <w:pPr>
        <w:ind w:firstLine="480"/>
      </w:pPr>
    </w:p>
    <w:p>
      <w:pPr>
        <w:pStyle w:val="2"/>
        <w:numPr>
          <w:ilvl w:val="0"/>
          <w:numId w:val="0"/>
        </w:numPr>
        <w:spacing w:before="240" w:after="120"/>
        <w:ind w:left="432" w:hanging="432"/>
        <w:rPr>
          <w:color w:val="FF0000"/>
        </w:rPr>
      </w:pPr>
      <w:bookmarkStart w:id="71" w:name="_Toc13233"/>
      <w:bookmarkStart w:id="72" w:name="_Toc107663676"/>
      <w:r>
        <w:rPr>
          <w:color w:val="FF0000"/>
        </w:rPr>
        <w:t>附录</w:t>
      </w:r>
      <w:r>
        <w:rPr>
          <w:rFonts w:hint="eastAsia"/>
          <w:color w:val="FF0000"/>
        </w:rPr>
        <w:t>2：</w:t>
      </w:r>
      <w:r>
        <w:rPr>
          <w:color w:val="FF0000"/>
        </w:rPr>
        <w:t>M12-D型连接器引脚定义</w:t>
      </w:r>
      <w:bookmarkEnd w:id="71"/>
      <w:bookmarkEnd w:id="72"/>
    </w:p>
    <w:p>
      <w:pPr>
        <w:spacing w:line="360" w:lineRule="auto"/>
        <w:ind w:right="232" w:firstLine="480"/>
        <w:jc w:val="left"/>
        <w:rPr>
          <w:rFonts w:asciiTheme="minorEastAsia" w:hAnsiTheme="minorEastAsia" w:eastAsiaTheme="minorEastAsia"/>
          <w:color w:val="FF0000"/>
        </w:rPr>
      </w:pPr>
      <w:r>
        <w:rPr>
          <w:rFonts w:hint="eastAsia" w:asciiTheme="minorEastAsia" w:hAnsiTheme="minorEastAsia" w:eastAsiaTheme="minorEastAsia"/>
          <w:color w:val="FF0000"/>
        </w:rPr>
        <w:t>采用标准的M12 D C</w:t>
      </w:r>
      <w:r>
        <w:rPr>
          <w:rFonts w:asciiTheme="minorEastAsia" w:hAnsiTheme="minorEastAsia" w:eastAsiaTheme="minorEastAsia"/>
          <w:color w:val="FF0000"/>
        </w:rPr>
        <w:t>o</w:t>
      </w:r>
      <w:r>
        <w:rPr>
          <w:rFonts w:hint="eastAsia" w:asciiTheme="minorEastAsia" w:hAnsiTheme="minorEastAsia" w:eastAsiaTheme="minorEastAsia"/>
          <w:color w:val="FF0000"/>
        </w:rPr>
        <w:t>de编码，4芯公针连接器布局如下：</w:t>
      </w:r>
    </w:p>
    <w:p>
      <w:pPr>
        <w:spacing w:line="240" w:lineRule="auto"/>
        <w:ind w:firstLine="480"/>
        <w:jc w:val="center"/>
        <w:rPr>
          <w:color w:val="FF0000"/>
        </w:rPr>
      </w:pPr>
      <w:r>
        <w:rPr>
          <w:color w:val="FF0000"/>
        </w:rPr>
        <w:drawing>
          <wp:inline distT="0" distB="0" distL="0" distR="0">
            <wp:extent cx="2352675" cy="3358515"/>
            <wp:effectExtent l="0" t="0" r="952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a:srcRect r="52059"/>
                    <a:stretch>
                      <a:fillRect/>
                    </a:stretch>
                  </pic:blipFill>
                  <pic:spPr>
                    <a:xfrm>
                      <a:off x="0" y="0"/>
                      <a:ext cx="2353869" cy="3360234"/>
                    </a:xfrm>
                    <a:prstGeom prst="rect">
                      <a:avLst/>
                    </a:prstGeom>
                    <a:ln>
                      <a:noFill/>
                    </a:ln>
                  </pic:spPr>
                </pic:pic>
              </a:graphicData>
            </a:graphic>
          </wp:inline>
        </w:drawing>
      </w:r>
    </w:p>
    <w:p>
      <w:pPr>
        <w:ind w:firstLine="480"/>
        <w:rPr>
          <w:color w:val="FF0000"/>
        </w:rPr>
      </w:pPr>
      <w:r>
        <w:rPr>
          <w:color w:val="FF0000"/>
        </w:rPr>
        <w:t>引脚定义：</w:t>
      </w:r>
    </w:p>
    <w:tbl>
      <w:tblPr>
        <w:tblStyle w:val="61"/>
        <w:tblpPr w:leftFromText="180" w:rightFromText="180" w:vertAnchor="text" w:horzAnchor="margin" w:tblpXSpec="center" w:tblpY="193"/>
        <w:tblW w:w="3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3"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引脚</w:t>
            </w:r>
          </w:p>
        </w:tc>
        <w:tc>
          <w:tcPr>
            <w:tcW w:w="2411" w:type="dxa"/>
          </w:tcPr>
          <w:p>
            <w:pPr>
              <w:keepNext w:val="0"/>
              <w:keepLines w:val="0"/>
              <w:suppressLineNumbers w:val="0"/>
              <w:spacing w:before="0" w:beforeAutospacing="0" w:after="0" w:afterAutospacing="0"/>
              <w:ind w:left="0" w:right="0" w:firstLine="480"/>
              <w:rPr>
                <w:rFonts w:hint="default"/>
                <w:color w:val="FF0000"/>
                <w:szCs w:val="20"/>
              </w:rPr>
            </w:pPr>
            <w:r>
              <w:rPr>
                <w:rFonts w:hint="default"/>
                <w:color w:val="FF0000"/>
                <w:szCs w:val="20"/>
              </w:rPr>
              <w:t>对应通讯端口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3" w:type="dxa"/>
          </w:tcPr>
          <w:p>
            <w:pPr>
              <w:keepNext w:val="0"/>
              <w:keepLines w:val="0"/>
              <w:suppressLineNumbers w:val="0"/>
              <w:spacing w:before="0" w:beforeAutospacing="0" w:after="0" w:afterAutospacing="0"/>
              <w:ind w:left="0" w:right="0" w:firstLine="480"/>
              <w:rPr>
                <w:rFonts w:hint="default"/>
                <w:color w:val="FF0000"/>
                <w:szCs w:val="20"/>
              </w:rPr>
            </w:pPr>
            <w:r>
              <w:rPr>
                <w:rFonts w:hint="eastAsia"/>
                <w:color w:val="FF0000"/>
                <w:szCs w:val="20"/>
              </w:rPr>
              <w:t>1</w:t>
            </w:r>
          </w:p>
        </w:tc>
        <w:tc>
          <w:tcPr>
            <w:tcW w:w="2411" w:type="dxa"/>
          </w:tcPr>
          <w:p>
            <w:pPr>
              <w:keepNext w:val="0"/>
              <w:keepLines w:val="0"/>
              <w:suppressLineNumbers w:val="0"/>
              <w:spacing w:before="0" w:beforeAutospacing="0" w:after="0" w:afterAutospacing="0"/>
              <w:ind w:left="0" w:right="0" w:firstLine="480"/>
              <w:rPr>
                <w:rFonts w:hint="default"/>
                <w:color w:val="FF0000"/>
                <w:szCs w:val="20"/>
              </w:rPr>
            </w:pPr>
            <w:r>
              <w:rPr>
                <w:rFonts w:hint="eastAsia"/>
                <w:color w:val="FF0000"/>
                <w:szCs w:val="20"/>
              </w:rPr>
              <w:t>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3" w:type="dxa"/>
          </w:tcPr>
          <w:p>
            <w:pPr>
              <w:keepNext w:val="0"/>
              <w:keepLines w:val="0"/>
              <w:suppressLineNumbers w:val="0"/>
              <w:spacing w:before="0" w:beforeAutospacing="0" w:after="0" w:afterAutospacing="0"/>
              <w:ind w:left="0" w:right="0" w:firstLine="480"/>
              <w:rPr>
                <w:rFonts w:hint="default"/>
                <w:color w:val="FF0000"/>
                <w:szCs w:val="20"/>
              </w:rPr>
            </w:pPr>
            <w:r>
              <w:rPr>
                <w:rFonts w:hint="eastAsia"/>
                <w:color w:val="FF0000"/>
                <w:szCs w:val="20"/>
              </w:rPr>
              <w:t>2</w:t>
            </w:r>
          </w:p>
        </w:tc>
        <w:tc>
          <w:tcPr>
            <w:tcW w:w="2411" w:type="dxa"/>
          </w:tcPr>
          <w:p>
            <w:pPr>
              <w:keepNext w:val="0"/>
              <w:keepLines w:val="0"/>
              <w:suppressLineNumbers w:val="0"/>
              <w:spacing w:before="0" w:beforeAutospacing="0" w:after="0" w:afterAutospacing="0"/>
              <w:ind w:left="0" w:right="0" w:firstLine="480"/>
              <w:rPr>
                <w:rFonts w:hint="default"/>
                <w:color w:val="FF0000"/>
                <w:szCs w:val="20"/>
              </w:rPr>
            </w:pPr>
            <w:r>
              <w:rPr>
                <w:rFonts w:hint="eastAsia"/>
                <w:color w:val="FF0000"/>
                <w:szCs w:val="20"/>
              </w:rPr>
              <w:t>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3" w:type="dxa"/>
          </w:tcPr>
          <w:p>
            <w:pPr>
              <w:keepNext w:val="0"/>
              <w:keepLines w:val="0"/>
              <w:suppressLineNumbers w:val="0"/>
              <w:spacing w:before="0" w:beforeAutospacing="0" w:after="0" w:afterAutospacing="0"/>
              <w:ind w:left="0" w:right="0" w:firstLine="480"/>
              <w:rPr>
                <w:rFonts w:hint="default"/>
                <w:color w:val="FF0000"/>
                <w:szCs w:val="20"/>
              </w:rPr>
            </w:pPr>
            <w:r>
              <w:rPr>
                <w:rFonts w:hint="eastAsia"/>
                <w:color w:val="FF0000"/>
                <w:szCs w:val="20"/>
              </w:rPr>
              <w:t>3</w:t>
            </w:r>
          </w:p>
        </w:tc>
        <w:tc>
          <w:tcPr>
            <w:tcW w:w="2411" w:type="dxa"/>
          </w:tcPr>
          <w:p>
            <w:pPr>
              <w:keepNext w:val="0"/>
              <w:keepLines w:val="0"/>
              <w:suppressLineNumbers w:val="0"/>
              <w:spacing w:before="0" w:beforeAutospacing="0" w:after="0" w:afterAutospacing="0"/>
              <w:ind w:left="0" w:right="0" w:firstLine="480"/>
              <w:rPr>
                <w:rFonts w:hint="default"/>
                <w:color w:val="FF0000"/>
                <w:szCs w:val="20"/>
              </w:rPr>
            </w:pPr>
            <w:r>
              <w:rPr>
                <w:rFonts w:hint="eastAsia"/>
                <w:color w:val="FF0000"/>
                <w:szCs w:val="20"/>
              </w:rPr>
              <w:t>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3" w:type="dxa"/>
          </w:tcPr>
          <w:p>
            <w:pPr>
              <w:keepNext w:val="0"/>
              <w:keepLines w:val="0"/>
              <w:suppressLineNumbers w:val="0"/>
              <w:spacing w:before="0" w:beforeAutospacing="0" w:after="0" w:afterAutospacing="0"/>
              <w:ind w:left="0" w:right="0" w:firstLine="480"/>
              <w:rPr>
                <w:rFonts w:hint="default"/>
                <w:color w:val="FF0000"/>
                <w:szCs w:val="20"/>
              </w:rPr>
            </w:pPr>
            <w:r>
              <w:rPr>
                <w:rFonts w:hint="eastAsia"/>
                <w:color w:val="FF0000"/>
                <w:szCs w:val="20"/>
              </w:rPr>
              <w:t>4</w:t>
            </w:r>
          </w:p>
        </w:tc>
        <w:tc>
          <w:tcPr>
            <w:tcW w:w="2411" w:type="dxa"/>
          </w:tcPr>
          <w:p>
            <w:pPr>
              <w:keepNext w:val="0"/>
              <w:keepLines w:val="0"/>
              <w:suppressLineNumbers w:val="0"/>
              <w:spacing w:before="0" w:beforeAutospacing="0" w:after="0" w:afterAutospacing="0"/>
              <w:ind w:left="0" w:right="0" w:firstLine="480"/>
              <w:rPr>
                <w:rFonts w:hint="default"/>
                <w:color w:val="FF0000"/>
                <w:szCs w:val="20"/>
              </w:rPr>
            </w:pPr>
            <w:r>
              <w:rPr>
                <w:rFonts w:hint="eastAsia"/>
                <w:color w:val="FF0000"/>
                <w:szCs w:val="20"/>
              </w:rPr>
              <w:t>RX-</w:t>
            </w:r>
          </w:p>
        </w:tc>
      </w:tr>
    </w:tbl>
    <w:p>
      <w:pPr>
        <w:pStyle w:val="2"/>
        <w:numPr>
          <w:ilvl w:val="0"/>
          <w:numId w:val="0"/>
        </w:numPr>
        <w:spacing w:before="240" w:after="120"/>
        <w:ind w:left="432" w:hanging="432"/>
        <w:jc w:val="center"/>
        <w:rPr>
          <w:color w:val="FF0000"/>
        </w:rPr>
        <w:sectPr>
          <w:pgSz w:w="11907" w:h="16840"/>
          <w:pgMar w:top="1134" w:right="1418" w:bottom="1134" w:left="1418" w:header="794" w:footer="737" w:gutter="0"/>
          <w:pgBorders>
            <w:top w:val="none" w:sz="0" w:space="0"/>
            <w:left w:val="none" w:sz="0" w:space="0"/>
            <w:bottom w:val="none" w:sz="0" w:space="0"/>
            <w:right w:val="none" w:sz="0" w:space="0"/>
          </w:pgBorders>
          <w:cols w:space="425" w:num="1"/>
          <w:titlePg/>
          <w:docGrid w:linePitch="381" w:charSpace="0"/>
        </w:sectPr>
      </w:pPr>
    </w:p>
    <w:p>
      <w:pPr>
        <w:pStyle w:val="2"/>
        <w:numPr>
          <w:ilvl w:val="0"/>
          <w:numId w:val="0"/>
        </w:numPr>
        <w:spacing w:before="240" w:after="120"/>
        <w:ind w:left="432" w:hanging="432"/>
        <w:rPr>
          <w:color w:val="FF0000"/>
        </w:rPr>
      </w:pPr>
      <w:bookmarkStart w:id="73" w:name="_Toc12195"/>
      <w:r>
        <w:rPr>
          <w:rFonts w:hint="eastAsia"/>
          <w:color w:val="FF0000"/>
        </w:rPr>
        <w:t>附录3：紧固力矩要求</w:t>
      </w:r>
      <w:bookmarkEnd w:id="73"/>
    </w:p>
    <w:p>
      <w:pPr>
        <w:pStyle w:val="193"/>
        <w:numPr>
          <w:ilvl w:val="0"/>
          <w:numId w:val="15"/>
        </w:numPr>
        <w:ind w:firstLineChars="0"/>
      </w:pPr>
      <w:r>
        <w:rPr>
          <w:rFonts w:hint="eastAsia"/>
          <w:color w:val="FF0000"/>
        </w:rPr>
        <w:t>KPC18-02(2.02.25.0225)型控制器紧固力矩要求：</w:t>
      </w:r>
    </w:p>
    <w:p>
      <w:pPr>
        <w:ind w:firstLine="480"/>
      </w:pPr>
      <w:r>
        <w:rPr>
          <w:rFonts w:hint="eastAsia"/>
        </w:rPr>
        <w:t>PCB板紧固要求</w:t>
      </w:r>
    </w:p>
    <w:p>
      <w:pPr>
        <w:ind w:firstLine="480"/>
      </w:pPr>
      <w:r>
        <w:rPr>
          <w:rFonts w:hint="eastAsia"/>
        </w:rPr>
        <w:t>3.5双排要求：</w:t>
      </w:r>
    </w:p>
    <w:p>
      <w:pPr>
        <w:ind w:firstLine="480"/>
      </w:pPr>
      <w:r>
        <w:rPr>
          <w:rFonts w:hint="eastAsia"/>
        </w:rPr>
        <w:t>螺钉法兰的最小扭矩：0.2Nm，螺钉法兰的最大扭矩：0.25Nm</w:t>
      </w:r>
    </w:p>
    <w:p>
      <w:pPr>
        <w:ind w:firstLine="480"/>
      </w:pPr>
      <w:r>
        <w:rPr>
          <w:rFonts w:hint="eastAsia"/>
        </w:rPr>
        <w:t>5.08双排要求：</w:t>
      </w:r>
    </w:p>
    <w:p>
      <w:pPr>
        <w:ind w:firstLine="480"/>
      </w:pPr>
      <w:r>
        <w:rPr>
          <w:rFonts w:hint="eastAsia"/>
        </w:rPr>
        <w:t>螺钉法兰的最小扭矩：0.15Nm，螺钉法兰的最大扭矩：0.2Nm</w:t>
      </w:r>
    </w:p>
    <w:p>
      <w:pPr>
        <w:ind w:firstLine="480"/>
      </w:pPr>
      <w:r>
        <w:rPr>
          <w:rFonts w:hint="eastAsia"/>
        </w:rPr>
        <w:t>PCB板固定用螺钉规格：M4，紧固力矩值8~12kgf.cm</w:t>
      </w:r>
    </w:p>
    <w:p>
      <w:pPr>
        <w:ind w:firstLine="480"/>
      </w:pPr>
    </w:p>
    <w:p>
      <w:pPr>
        <w:pStyle w:val="193"/>
        <w:numPr>
          <w:ilvl w:val="0"/>
          <w:numId w:val="15"/>
        </w:numPr>
        <w:ind w:firstLineChars="0"/>
        <w:rPr>
          <w:color w:val="FF0000"/>
        </w:rPr>
      </w:pPr>
      <w:r>
        <w:rPr>
          <w:rFonts w:hint="eastAsia"/>
          <w:color w:val="FF0000"/>
        </w:rPr>
        <w:t xml:space="preserve">KPC18-02(2.02.25.0333) 型控制器紧固力矩要求参见P97K0078。 </w:t>
      </w:r>
    </w:p>
    <w:p>
      <w:pPr>
        <w:pStyle w:val="193"/>
        <w:numPr>
          <w:ilvl w:val="0"/>
          <w:numId w:val="15"/>
        </w:numPr>
        <w:ind w:firstLineChars="0"/>
        <w:rPr>
          <w:color w:val="FF0000"/>
        </w:rPr>
      </w:pPr>
      <w:r>
        <w:rPr>
          <w:rFonts w:hint="eastAsia"/>
          <w:color w:val="FF0000"/>
        </w:rPr>
        <w:t>KPC18-02(2.02.25.0334) 型控制器紧固力矩要求参见P97K0080。</w:t>
      </w:r>
    </w:p>
    <w:p>
      <w:pPr>
        <w:pStyle w:val="193"/>
        <w:numPr>
          <w:ilvl w:val="0"/>
          <w:numId w:val="15"/>
        </w:numPr>
        <w:ind w:firstLineChars="0"/>
        <w:rPr>
          <w:color w:val="FF0000"/>
        </w:rPr>
      </w:pPr>
      <w:r>
        <w:rPr>
          <w:rFonts w:hint="eastAsia"/>
          <w:color w:val="FF0000"/>
        </w:rPr>
        <w:t>KPC18-02(2</w:t>
      </w:r>
      <w:r>
        <w:rPr>
          <w:color w:val="FF0000"/>
        </w:rPr>
        <w:t>.02.25.0339</w:t>
      </w:r>
      <w:r>
        <w:rPr>
          <w:rFonts w:hint="eastAsia"/>
          <w:color w:val="FF0000"/>
        </w:rPr>
        <w:t>) 型控制器紧固力矩要求参见P97K0</w:t>
      </w:r>
      <w:r>
        <w:rPr>
          <w:color w:val="FF0000"/>
        </w:rPr>
        <w:t>104</w:t>
      </w:r>
      <w:r>
        <w:rPr>
          <w:rFonts w:hint="eastAsia"/>
          <w:color w:val="FF0000"/>
        </w:rPr>
        <w:t xml:space="preserve">。 </w:t>
      </w:r>
    </w:p>
    <w:p>
      <w:pPr>
        <w:pStyle w:val="193"/>
        <w:numPr>
          <w:ilvl w:val="0"/>
          <w:numId w:val="15"/>
        </w:numPr>
        <w:ind w:firstLineChars="0"/>
        <w:rPr>
          <w:color w:val="FF0000"/>
        </w:rPr>
      </w:pPr>
      <w:r>
        <w:rPr>
          <w:rFonts w:hint="eastAsia"/>
          <w:color w:val="FF0000"/>
          <w:lang w:val="en-US" w:eastAsia="zh-CN"/>
        </w:rPr>
        <w:t xml:space="preserve">KPC18-02/B(2.02.25.0441) </w:t>
      </w:r>
      <w:r>
        <w:rPr>
          <w:rFonts w:hint="eastAsia"/>
          <w:color w:val="FF0000"/>
        </w:rPr>
        <w:t>型控制器紧固力矩要求参见P97K0</w:t>
      </w:r>
      <w:r>
        <w:rPr>
          <w:color w:val="FF0000"/>
        </w:rPr>
        <w:t>1</w:t>
      </w:r>
      <w:r>
        <w:rPr>
          <w:rFonts w:hint="eastAsia"/>
          <w:color w:val="FF0000"/>
          <w:lang w:val="en-US" w:eastAsia="zh-CN"/>
        </w:rPr>
        <w:t>35。</w:t>
      </w:r>
    </w:p>
    <w:p>
      <w:pPr>
        <w:ind w:firstLine="480"/>
      </w:pPr>
    </w:p>
    <w:p>
      <w:pPr>
        <w:ind w:firstLine="480"/>
        <w:sectPr>
          <w:pgSz w:w="11907" w:h="16840"/>
          <w:pgMar w:top="1134" w:right="1418" w:bottom="1134" w:left="1418" w:header="794" w:footer="737" w:gutter="0"/>
          <w:pgBorders>
            <w:top w:val="none" w:sz="0" w:space="0"/>
            <w:left w:val="none" w:sz="0" w:space="0"/>
            <w:bottom w:val="none" w:sz="0" w:space="0"/>
            <w:right w:val="none" w:sz="0" w:space="0"/>
          </w:pgBorders>
          <w:cols w:space="425" w:num="1"/>
          <w:titlePg/>
          <w:docGrid w:linePitch="381" w:charSpace="0"/>
        </w:sectPr>
      </w:pPr>
    </w:p>
    <w:p>
      <w:pPr>
        <w:pStyle w:val="2"/>
        <w:numPr>
          <w:ilvl w:val="0"/>
          <w:numId w:val="0"/>
        </w:numPr>
        <w:spacing w:before="240" w:after="120"/>
        <w:ind w:left="432" w:hanging="432"/>
        <w:rPr>
          <w:color w:val="FF0000"/>
        </w:rPr>
      </w:pPr>
      <w:bookmarkStart w:id="74" w:name="_Toc18654"/>
      <w:r>
        <w:rPr>
          <w:rFonts w:hint="eastAsia"/>
          <w:color w:val="FF0000"/>
        </w:rPr>
        <w:t>附录4：端子接口定义</w:t>
      </w:r>
      <w:bookmarkEnd w:id="74"/>
    </w:p>
    <w:p>
      <w:pPr>
        <w:pStyle w:val="3"/>
        <w:numPr>
          <w:ilvl w:val="0"/>
          <w:numId w:val="0"/>
        </w:numPr>
        <w:tabs>
          <w:tab w:val="left" w:pos="0"/>
          <w:tab w:val="clear" w:pos="567"/>
        </w:tabs>
        <w:spacing w:before="120"/>
        <w:ind w:left="567" w:hanging="567"/>
        <w:jc w:val="center"/>
      </w:pPr>
      <w:bookmarkStart w:id="75" w:name="_Toc23720"/>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20</w:t>
      </w:r>
      <w:r>
        <w:rPr>
          <w:color w:val="FF0000"/>
        </w:rPr>
        <w:fldChar w:fldCharType="end"/>
      </w:r>
      <w:r>
        <w:rPr>
          <w:rFonts w:hint="eastAsia"/>
          <w:color w:val="FF0000"/>
        </w:rPr>
        <w:t xml:space="preserve"> KPC18-02(2.02.25.0225)型控制器端子定义</w:t>
      </w:r>
      <w:bookmarkEnd w:id="75"/>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1021"/>
        <w:gridCol w:w="1134"/>
        <w:gridCol w:w="5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XS1端子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序号</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名称</w:t>
            </w:r>
          </w:p>
        </w:tc>
        <w:tc>
          <w:tcPr>
            <w:tcW w:w="2155" w:type="dxa"/>
            <w:gridSpan w:val="2"/>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定义</w:t>
            </w:r>
          </w:p>
        </w:tc>
        <w:tc>
          <w:tcPr>
            <w:tcW w:w="564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1RS485-GND</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 RS 485-SHIELD</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 RS 485-GND</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 RS 485-SHIELD</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 RS 485-GND</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 RS 485-SHIELD</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ADDGND</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从设备编址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 RS 485-A</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 RS 485-B</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 RS 485-A</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 RS 485-B</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 RS 485-A</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 RS 485-B</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RS485通信B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ADDOUT</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从设备编址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XS2端子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COM1-</w:t>
            </w:r>
          </w:p>
        </w:tc>
        <w:tc>
          <w:tcPr>
            <w:tcW w:w="6775" w:type="dxa"/>
            <w:gridSpan w:val="2"/>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DO1-DO10公共端，</w:t>
            </w:r>
            <w:r>
              <w:rPr>
                <w:rFonts w:hint="eastAsia" w:cs="Calibri"/>
                <w:color w:val="FF0000"/>
                <w:kern w:val="0"/>
                <w:szCs w:val="21"/>
              </w:rPr>
              <w:t>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A2</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DO01</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A3</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DO02</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A4</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DO03</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A5</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DO04</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A6</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DO05</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A7</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COM2-</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olor w:val="FF0000"/>
                <w:szCs w:val="20"/>
              </w:rPr>
              <w:t>DO11-DO20公共端，</w:t>
            </w:r>
            <w:r>
              <w:rPr>
                <w:rFonts w:hint="eastAsia" w:cs="Calibri"/>
                <w:color w:val="FF0000"/>
                <w:kern w:val="0"/>
                <w:szCs w:val="21"/>
              </w:rPr>
              <w:t>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A8</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DO11</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A9</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DO12</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A10</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DO13</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A11</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DO14</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A12</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DO15</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COM1+</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olor w:val="FF0000"/>
                <w:szCs w:val="20"/>
              </w:rPr>
              <w:t>DO1-DO10公共端，</w:t>
            </w:r>
            <w:r>
              <w:rPr>
                <w:rFonts w:hint="eastAsia" w:cs="Calibri"/>
                <w:color w:val="FF0000"/>
                <w:kern w:val="0"/>
                <w:szCs w:val="21"/>
              </w:rPr>
              <w:t>DC110V+或DC24V+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DO06</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B3</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DO07</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B4</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DO08</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B5</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DO09</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B6</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DO10</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B7</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COM2+</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olor w:val="FF0000"/>
                <w:szCs w:val="20"/>
              </w:rPr>
              <w:t>DO11-DO20公共端，</w:t>
            </w:r>
            <w:r>
              <w:rPr>
                <w:rFonts w:hint="eastAsia" w:cs="Calibri"/>
                <w:color w:val="FF0000"/>
                <w:kern w:val="0"/>
                <w:szCs w:val="21"/>
              </w:rPr>
              <w:t>DC110V+或DC24V+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B8</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DO16</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B9</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DO17</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B10</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DO18</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B11</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DO19</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B12</w:t>
            </w:r>
          </w:p>
        </w:tc>
        <w:tc>
          <w:tcPr>
            <w:tcW w:w="102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DO20</w:t>
            </w:r>
          </w:p>
        </w:tc>
        <w:tc>
          <w:tcPr>
            <w:tcW w:w="6775" w:type="dxa"/>
            <w:gridSpan w:val="2"/>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olor w:val="FF0000"/>
                <w:szCs w:val="20"/>
              </w:rPr>
              <w:t>XS3端子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DO21</w:t>
            </w:r>
          </w:p>
        </w:tc>
        <w:tc>
          <w:tcPr>
            <w:tcW w:w="5641" w:type="dxa"/>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DO22</w:t>
            </w:r>
          </w:p>
        </w:tc>
        <w:tc>
          <w:tcPr>
            <w:tcW w:w="5641" w:type="dxa"/>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DO23</w:t>
            </w:r>
          </w:p>
        </w:tc>
        <w:tc>
          <w:tcPr>
            <w:tcW w:w="5641" w:type="dxa"/>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DO24</w:t>
            </w:r>
          </w:p>
        </w:tc>
        <w:tc>
          <w:tcPr>
            <w:tcW w:w="5641" w:type="dxa"/>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DO25</w:t>
            </w:r>
          </w:p>
        </w:tc>
        <w:tc>
          <w:tcPr>
            <w:tcW w:w="5641" w:type="dxa"/>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olor w:val="FF000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DO26</w:t>
            </w:r>
          </w:p>
        </w:tc>
        <w:tc>
          <w:tcPr>
            <w:tcW w:w="5641" w:type="dxa"/>
          </w:tcPr>
          <w:p>
            <w:pPr>
              <w:keepNext w:val="0"/>
              <w:keepLines w:val="0"/>
              <w:suppressLineNumbers w:val="0"/>
              <w:spacing w:before="0" w:beforeAutospacing="0" w:after="0" w:afterAutospacing="0"/>
              <w:ind w:left="0" w:right="0" w:firstLine="0" w:firstLineChars="0"/>
              <w:jc w:val="left"/>
              <w:rPr>
                <w:rFonts w:hint="default"/>
                <w:color w:val="FF0000"/>
                <w:szCs w:val="20"/>
              </w:rPr>
            </w:pPr>
            <w:r>
              <w:rPr>
                <w:rFonts w:hint="eastAsia" w:cs="Calibri"/>
                <w:color w:val="FF0000"/>
                <w:kern w:val="0"/>
                <w:szCs w:val="21"/>
              </w:rPr>
              <w:t>DO输出，</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SFOUT1(常闭)</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DO安全输出1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A8</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SFOUT2(常开)</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DO安全输出2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COM(DO21)</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DO21输出公共端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COM(DO22)</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DO22输出公共端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COM(DO23)</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DO23输出公共端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COM(DO24)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DO24输出公共端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COM(DO25)</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DO25输出公共端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COM(DO26)</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DO26输出公共端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COM(SFOUT1)</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DO安全输出1公共端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B8</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COM(SFOUT2)</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DO安全输出2公共端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XS4端子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P24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24</w:t>
            </w:r>
            <w:r>
              <w:rPr>
                <w:rFonts w:hint="default"/>
                <w:color w:val="FF0000"/>
                <w:szCs w:val="20"/>
              </w:rPr>
              <w:t>V电源供电正极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PE</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N24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24</w:t>
            </w:r>
            <w:r>
              <w:rPr>
                <w:rFonts w:hint="default"/>
                <w:color w:val="FF0000"/>
                <w:szCs w:val="20"/>
              </w:rPr>
              <w:t>V电源供电负极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P24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24</w:t>
            </w:r>
            <w:r>
              <w:rPr>
                <w:rFonts w:hint="default"/>
                <w:color w:val="FF0000"/>
                <w:szCs w:val="20"/>
              </w:rPr>
              <w:t>V电源供电正极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PE</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N24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24</w:t>
            </w:r>
            <w:r>
              <w:rPr>
                <w:rFonts w:hint="default"/>
                <w:color w:val="FF0000"/>
                <w:szCs w:val="20"/>
              </w:rPr>
              <w:t>V电源供电负极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XS5端子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COM1</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IN1-IN8公共端，</w:t>
            </w:r>
            <w:r>
              <w:rPr>
                <w:rFonts w:hint="eastAsia" w:cs="Calibri"/>
                <w:color w:val="FF0000"/>
                <w:kern w:val="0"/>
                <w:szCs w:val="21"/>
              </w:rPr>
              <w:t xml:space="preserve"> 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NC</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IN9</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A8</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IN10</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A9</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IN11</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A10</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IN12</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IN13</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IN15</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IN16</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COM2</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IN9-IN24公共端，</w:t>
            </w:r>
            <w:r>
              <w:rPr>
                <w:rFonts w:hint="eastAsia" w:cs="Calibri"/>
                <w:color w:val="FF0000"/>
                <w:kern w:val="0"/>
                <w:szCs w:val="21"/>
              </w:rPr>
              <w:t xml:space="preserve"> 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IN5</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IN6</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IN7</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IN8</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COM1</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N1-IN8公共端，</w:t>
            </w:r>
            <w:r>
              <w:rPr>
                <w:rFonts w:hint="eastAsia" w:cs="Calibri"/>
                <w:color w:val="FF0000"/>
                <w:kern w:val="0"/>
                <w:szCs w:val="21"/>
              </w:rPr>
              <w:t xml:space="preserve"> 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NC</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IN17</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B8</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IN18</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B9</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IN19</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B10</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IN20</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IN21</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IN22</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IN23</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COM2</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IN9-IN24公共端，</w:t>
            </w:r>
            <w:r>
              <w:rPr>
                <w:rFonts w:hint="eastAsia" w:cs="Calibri"/>
                <w:color w:val="FF0000"/>
                <w:kern w:val="0"/>
                <w:szCs w:val="21"/>
              </w:rPr>
              <w:t xml:space="preserve"> 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XS6端子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IN25</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IN26</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IN27</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IN28</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IN29</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IN30</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IN31</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A8</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IN32</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A9</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COM3</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IN25-IN40公共端，</w:t>
            </w:r>
            <w:r>
              <w:rPr>
                <w:rFonts w:hint="eastAsia" w:cs="Calibri"/>
                <w:color w:val="FF0000"/>
                <w:kern w:val="0"/>
                <w:szCs w:val="21"/>
              </w:rPr>
              <w:t xml:space="preserve"> 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IN33</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IN34</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IN35</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IN36</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IN37</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IN38</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IN39</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B8</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IN40</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1"/>
              </w:rPr>
              <w:t>数字量输入,输入电压24V±30%,隔离电压2000V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B9</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COM3</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IN25-IN40公共端，</w:t>
            </w:r>
            <w:r>
              <w:rPr>
                <w:rFonts w:hint="eastAsia" w:cs="Calibri"/>
                <w:color w:val="FF0000"/>
                <w:kern w:val="0"/>
                <w:szCs w:val="21"/>
              </w:rPr>
              <w:t xml:space="preserve"> 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XS7端子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NTC1+</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NTC温度传感器1接线1，信号输入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NTC1-</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NTC温度传感器1接线2，模拟地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SHIELD</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NTC2+</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NTC温度传感器2接线1，信号输入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NTC2-</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NTC温度传感器2接线2，模拟地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SHIELD</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NTC3+</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NTC温度传感器3接线1，信号输入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A8</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NTC3-</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NTC温度传感器3接线2，模拟地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A9</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SHIELD</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A10</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NTC4+</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NTC温度传感器4接线1，信号输入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NTC4-</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NTC温度传感器4接线2，模拟地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A12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SHIELD</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NTC5+</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NTC温度传感器5接线1，信号输入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NTC5-</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NTC温度传感器5接线2，模拟地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15</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SHIELD</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16</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NTC6+</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NTC温度传感器6接线1，信号输入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17</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B5</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NTC6-</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NTC温度传感器6接线2，模拟地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18</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B6</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SHIELD</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19</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B7</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NTC7+</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NTC温度传感器7接线1，信号输入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20</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B8</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NTC7-</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NTC温度传感器7接线2，模拟地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B9</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SHIELD</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B10</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NTC8+</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NTC温度传感器8接线1，信号输入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NTC8-</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NTC温度传感器8接线2，模拟地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B12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SHIELD</w:t>
            </w:r>
          </w:p>
        </w:tc>
        <w:tc>
          <w:tcPr>
            <w:tcW w:w="564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Debug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2155" w:type="dxa"/>
            <w:gridSpan w:val="2"/>
            <w:tcBorders>
              <w:top w:val="nil"/>
            </w:tcBorders>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DVC3.3</w:t>
            </w:r>
          </w:p>
        </w:tc>
        <w:tc>
          <w:tcPr>
            <w:tcW w:w="5641" w:type="dxa"/>
            <w:tcBorders>
              <w:top w:val="nil"/>
            </w:tcBorders>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DGND</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SWDIO</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SWCLK</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5"/>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PTU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1</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TX+</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数据发送+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2</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RX+</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数据接收+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3</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TX-</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数据发送-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851" w:type="dxa"/>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4</w:t>
            </w:r>
          </w:p>
        </w:tc>
        <w:tc>
          <w:tcPr>
            <w:tcW w:w="2155" w:type="dxa"/>
            <w:gridSpan w:val="2"/>
          </w:tcPr>
          <w:p>
            <w:pPr>
              <w:keepNext w:val="0"/>
              <w:keepLines w:val="0"/>
              <w:suppressLineNumbers w:val="0"/>
              <w:spacing w:before="0" w:beforeAutospacing="0" w:after="0" w:afterAutospacing="0"/>
              <w:ind w:left="0" w:right="0" w:firstLine="0" w:firstLineChars="0"/>
              <w:jc w:val="center"/>
              <w:rPr>
                <w:rFonts w:hint="default"/>
                <w:color w:val="FF0000"/>
                <w:szCs w:val="20"/>
              </w:rPr>
            </w:pPr>
            <w:r>
              <w:rPr>
                <w:rFonts w:hint="eastAsia"/>
                <w:color w:val="FF0000"/>
                <w:szCs w:val="20"/>
              </w:rPr>
              <w:t>RX-</w:t>
            </w:r>
          </w:p>
        </w:tc>
        <w:tc>
          <w:tcPr>
            <w:tcW w:w="5641"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数据接收-</w:t>
            </w:r>
          </w:p>
        </w:tc>
      </w:tr>
    </w:tbl>
    <w:p>
      <w:pPr>
        <w:ind w:firstLine="480"/>
      </w:pPr>
    </w:p>
    <w:p>
      <w:pPr>
        <w:ind w:firstLine="480"/>
        <w:rPr>
          <w:rFonts w:ascii="宋体" w:hAnsi="宋体" w:eastAsia="黑体"/>
          <w:szCs w:val="32"/>
        </w:rPr>
      </w:pPr>
      <w:r>
        <w:br w:type="page"/>
      </w:r>
    </w:p>
    <w:p>
      <w:pPr>
        <w:pStyle w:val="3"/>
        <w:numPr>
          <w:ilvl w:val="0"/>
          <w:numId w:val="0"/>
        </w:numPr>
        <w:tabs>
          <w:tab w:val="left" w:pos="0"/>
          <w:tab w:val="clear" w:pos="567"/>
        </w:tabs>
        <w:spacing w:before="120"/>
        <w:ind w:left="567" w:hanging="567"/>
        <w:jc w:val="center"/>
        <w:rPr>
          <w:color w:val="FF0000"/>
        </w:rPr>
      </w:pPr>
      <w:bookmarkStart w:id="76" w:name="_Toc11979"/>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21</w:t>
      </w:r>
      <w:r>
        <w:rPr>
          <w:color w:val="FF0000"/>
        </w:rPr>
        <w:fldChar w:fldCharType="end"/>
      </w:r>
      <w:r>
        <w:rPr>
          <w:rFonts w:hint="eastAsia"/>
          <w:color w:val="FF0000"/>
        </w:rPr>
        <w:t xml:space="preserve"> KPC18-02(2.02.25.0333)型控制器端子定义</w:t>
      </w:r>
      <w:bookmarkEnd w:id="76"/>
    </w:p>
    <w:tbl>
      <w:tblPr>
        <w:tblStyle w:val="6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70"/>
        <w:gridCol w:w="851"/>
        <w:gridCol w:w="1105"/>
        <w:gridCol w:w="142"/>
        <w:gridCol w:w="170"/>
        <w:gridCol w:w="425"/>
        <w:gridCol w:w="397"/>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XS1端子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序号</w:t>
            </w:r>
          </w:p>
        </w:tc>
        <w:tc>
          <w:tcPr>
            <w:tcW w:w="851"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名称</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定义</w:t>
            </w:r>
          </w:p>
        </w:tc>
        <w:tc>
          <w:tcPr>
            <w:tcW w:w="6492"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功能</w:t>
            </w:r>
            <w:r>
              <w:rPr>
                <w:rFonts w:hint="default"/>
                <w:color w:val="FF0000"/>
                <w:szCs w:val="2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SD_DO32</w:t>
            </w:r>
          </w:p>
        </w:tc>
        <w:tc>
          <w:tcPr>
            <w:tcW w:w="6492"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s="Calibri"/>
                <w:color w:val="FF0000"/>
                <w:kern w:val="0"/>
                <w:szCs w:val="21"/>
              </w:rPr>
              <w:t>固态输出通道，</w:t>
            </w:r>
            <w:r>
              <w:rPr>
                <w:rFonts w:hint="default" w:cs="Calibri"/>
                <w:color w:val="FF0000"/>
                <w:kern w:val="0"/>
                <w:szCs w:val="21"/>
              </w:rPr>
              <w:t>DC24V/</w:t>
            </w:r>
            <w:r>
              <w:rPr>
                <w:rFonts w:hint="eastAsia" w:cs="Calibri"/>
                <w:color w:val="FF0000"/>
                <w:kern w:val="0"/>
                <w:szCs w:val="21"/>
              </w:rPr>
              <w:t>1</w:t>
            </w:r>
            <w:r>
              <w:rPr>
                <w:rFonts w:hint="default" w:cs="Calibri"/>
                <w:color w:val="FF0000"/>
                <w:kern w:val="0"/>
                <w:szCs w:val="21"/>
              </w:rPr>
              <w:t>A</w:t>
            </w:r>
            <w:r>
              <w:rPr>
                <w:rFonts w:hint="eastAsia"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SD_DO30</w:t>
            </w:r>
          </w:p>
        </w:tc>
        <w:tc>
          <w:tcPr>
            <w:tcW w:w="6492"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s="Calibri"/>
                <w:color w:val="FF0000"/>
                <w:kern w:val="0"/>
                <w:szCs w:val="21"/>
              </w:rPr>
              <w:t>固态输出通道，</w:t>
            </w:r>
            <w:r>
              <w:rPr>
                <w:rFonts w:hint="default" w:cs="Calibri"/>
                <w:color w:val="FF0000"/>
                <w:kern w:val="0"/>
                <w:szCs w:val="21"/>
              </w:rPr>
              <w:t>DC24V/</w:t>
            </w:r>
            <w:r>
              <w:rPr>
                <w:rFonts w:hint="eastAsia" w:cs="Calibri"/>
                <w:color w:val="FF0000"/>
                <w:kern w:val="0"/>
                <w:szCs w:val="21"/>
              </w:rPr>
              <w:t>1</w:t>
            </w:r>
            <w:r>
              <w:rPr>
                <w:rFonts w:hint="default" w:cs="Calibri"/>
                <w:color w:val="FF0000"/>
                <w:kern w:val="0"/>
                <w:szCs w:val="21"/>
              </w:rPr>
              <w:t>A</w:t>
            </w:r>
            <w:r>
              <w:rPr>
                <w:rFonts w:hint="eastAsia"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SD_DO28</w:t>
            </w:r>
          </w:p>
        </w:tc>
        <w:tc>
          <w:tcPr>
            <w:tcW w:w="6492"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s="Calibri"/>
                <w:color w:val="FF0000"/>
                <w:kern w:val="0"/>
                <w:szCs w:val="21"/>
              </w:rPr>
              <w:t>固态输出通道，</w:t>
            </w:r>
            <w:r>
              <w:rPr>
                <w:rFonts w:hint="default" w:cs="Calibri"/>
                <w:color w:val="FF0000"/>
                <w:kern w:val="0"/>
                <w:szCs w:val="21"/>
              </w:rPr>
              <w:t>DC24V/</w:t>
            </w:r>
            <w:r>
              <w:rPr>
                <w:rFonts w:hint="eastAsia" w:cs="Calibri"/>
                <w:color w:val="FF0000"/>
                <w:kern w:val="0"/>
                <w:szCs w:val="21"/>
              </w:rPr>
              <w:t>1</w:t>
            </w:r>
            <w:r>
              <w:rPr>
                <w:rFonts w:hint="default" w:cs="Calibri"/>
                <w:color w:val="FF0000"/>
                <w:kern w:val="0"/>
                <w:szCs w:val="21"/>
              </w:rPr>
              <w:t>A</w:t>
            </w:r>
            <w:r>
              <w:rPr>
                <w:rFonts w:hint="eastAsia"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w:t>
            </w:r>
            <w:r>
              <w:rPr>
                <w:rFonts w:hint="default"/>
                <w:color w:val="FF0000"/>
                <w:szCs w:val="20"/>
              </w:rPr>
              <w:t>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COM6-</w:t>
            </w:r>
          </w:p>
        </w:tc>
        <w:tc>
          <w:tcPr>
            <w:tcW w:w="6492"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SD_DO27~SD_DO32公共端负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51"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w:t>
            </w:r>
            <w:r>
              <w:rPr>
                <w:rFonts w:hint="default"/>
                <w:color w:val="FF0000"/>
                <w:szCs w:val="20"/>
              </w:rPr>
              <w:t>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DO22</w:t>
            </w:r>
          </w:p>
        </w:tc>
        <w:tc>
          <w:tcPr>
            <w:tcW w:w="6492"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s="Calibri"/>
                <w:color w:val="FF0000"/>
                <w:kern w:val="0"/>
                <w:szCs w:val="21"/>
              </w:rPr>
              <w:t>DO通道22，</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51"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DOM7-</w:t>
            </w:r>
          </w:p>
        </w:tc>
        <w:tc>
          <w:tcPr>
            <w:tcW w:w="6492"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DO21和DO22公共端负,</w:t>
            </w:r>
            <w:r>
              <w:rPr>
                <w:rFonts w:hint="eastAsia" w:cs="Calibri"/>
                <w:color w:val="FF0000"/>
                <w:kern w:val="0"/>
                <w:szCs w:val="21"/>
              </w:rPr>
              <w:t xml:space="preserve"> 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SD_DO31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固态输出通道，</w:t>
            </w:r>
            <w:r>
              <w:rPr>
                <w:rFonts w:hint="default" w:cs="Calibri"/>
                <w:color w:val="FF0000"/>
                <w:kern w:val="0"/>
                <w:szCs w:val="21"/>
              </w:rPr>
              <w:t>DC24V/</w:t>
            </w:r>
            <w:r>
              <w:rPr>
                <w:rFonts w:hint="eastAsia" w:cs="Calibri"/>
                <w:color w:val="FF0000"/>
                <w:kern w:val="0"/>
                <w:szCs w:val="21"/>
              </w:rPr>
              <w:t>1</w:t>
            </w:r>
            <w:r>
              <w:rPr>
                <w:rFonts w:hint="default" w:cs="Calibri"/>
                <w:color w:val="FF0000"/>
                <w:kern w:val="0"/>
                <w:szCs w:val="21"/>
              </w:rPr>
              <w:t>A</w:t>
            </w:r>
            <w:r>
              <w:rPr>
                <w:rFonts w:hint="eastAsia"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SD_DO29</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固态输出通道，</w:t>
            </w:r>
            <w:r>
              <w:rPr>
                <w:rFonts w:hint="default" w:cs="Calibri"/>
                <w:color w:val="FF0000"/>
                <w:kern w:val="0"/>
                <w:szCs w:val="21"/>
              </w:rPr>
              <w:t>DC24V/</w:t>
            </w:r>
            <w:r>
              <w:rPr>
                <w:rFonts w:hint="eastAsia" w:cs="Calibri"/>
                <w:color w:val="FF0000"/>
                <w:kern w:val="0"/>
                <w:szCs w:val="21"/>
              </w:rPr>
              <w:t>1</w:t>
            </w:r>
            <w:r>
              <w:rPr>
                <w:rFonts w:hint="default" w:cs="Calibri"/>
                <w:color w:val="FF0000"/>
                <w:kern w:val="0"/>
                <w:szCs w:val="21"/>
              </w:rPr>
              <w:t>A</w:t>
            </w:r>
            <w:r>
              <w:rPr>
                <w:rFonts w:hint="eastAsia"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SD_DO27</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固态输出通道，</w:t>
            </w:r>
            <w:r>
              <w:rPr>
                <w:rFonts w:hint="default" w:cs="Calibri"/>
                <w:color w:val="FF0000"/>
                <w:kern w:val="0"/>
                <w:szCs w:val="21"/>
              </w:rPr>
              <w:t>DC24V/</w:t>
            </w:r>
            <w:r>
              <w:rPr>
                <w:rFonts w:hint="eastAsia" w:cs="Calibri"/>
                <w:color w:val="FF0000"/>
                <w:kern w:val="0"/>
                <w:szCs w:val="21"/>
              </w:rPr>
              <w:t>1</w:t>
            </w:r>
            <w:r>
              <w:rPr>
                <w:rFonts w:hint="default" w:cs="Calibri"/>
                <w:color w:val="FF0000"/>
                <w:kern w:val="0"/>
                <w:szCs w:val="21"/>
              </w:rPr>
              <w:t>A</w:t>
            </w:r>
            <w:r>
              <w:rPr>
                <w:rFonts w:hint="eastAsia" w:cs="Calibri"/>
                <w:color w:val="FF0000"/>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COM6+</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SD_DO27~SD_DO32公共端负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DO通道21，</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COM7+</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DO21和DO22公共端正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XS2端子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DO25B</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DO双路输出25B, </w:t>
            </w:r>
            <w:r>
              <w:rPr>
                <w:rFonts w:hint="eastAsia" w:cs="Calibri"/>
                <w:color w:val="FF0000"/>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DO24B</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DO双路输出24B, </w:t>
            </w:r>
            <w:r>
              <w:rPr>
                <w:rFonts w:hint="eastAsia" w:cs="Calibri"/>
                <w:color w:val="FF0000"/>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DO23B</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DO双路输出23B, </w:t>
            </w:r>
            <w:r>
              <w:rPr>
                <w:rFonts w:hint="eastAsia" w:cs="Calibri"/>
                <w:color w:val="FF0000"/>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4</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DO26B</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DO双路输出26B, </w:t>
            </w:r>
            <w:r>
              <w:rPr>
                <w:rFonts w:hint="eastAsia" w:cs="Calibri"/>
                <w:color w:val="FF0000"/>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5</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DO20</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DO通道20，</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DO18</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DO通道20，</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7</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COM5-</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DO17~DO20公共端负, </w:t>
            </w:r>
            <w:r>
              <w:rPr>
                <w:rFonts w:hint="eastAsia" w:cs="Calibri"/>
                <w:color w:val="FF0000"/>
                <w:kern w:val="0"/>
                <w:szCs w:val="21"/>
              </w:rPr>
              <w:t>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8</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DO16</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DO通道16，</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9</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DO14</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DO通道14，</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10</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COM4-</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DO13~DO16公共端负,</w:t>
            </w:r>
            <w:r>
              <w:rPr>
                <w:rFonts w:hint="eastAsia" w:cs="Calibri"/>
                <w:color w:val="FF0000"/>
                <w:kern w:val="0"/>
                <w:szCs w:val="21"/>
              </w:rPr>
              <w:t xml:space="preserve"> 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DO25A</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DO双路输出25A, </w:t>
            </w:r>
            <w:r>
              <w:rPr>
                <w:rFonts w:hint="eastAsia" w:cs="Calibri"/>
                <w:color w:val="FF0000"/>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DO24A</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DO双路输出24A, </w:t>
            </w:r>
            <w:r>
              <w:rPr>
                <w:rFonts w:hint="eastAsia" w:cs="Calibri"/>
                <w:color w:val="FF0000"/>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DO23A</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DO双路输出23A, </w:t>
            </w:r>
            <w:r>
              <w:rPr>
                <w:rFonts w:hint="eastAsia" w:cs="Calibri"/>
                <w:color w:val="FF0000"/>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B4</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DO26A</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 xml:space="preserve">DO双路输出26A, </w:t>
            </w:r>
            <w:r>
              <w:rPr>
                <w:rFonts w:hint="eastAsia" w:cs="Calibri"/>
                <w:color w:val="FF0000"/>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15</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B5</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DO19</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DO通道19，</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16</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B6</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DO17</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DO通道17，</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17</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B7</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COM5+</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DO17~DO20公共端正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18</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B8</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DO15</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DO通道15，</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19</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B9</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DO13</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s="Calibri"/>
                <w:color w:val="FF0000"/>
                <w:kern w:val="0"/>
                <w:szCs w:val="21"/>
              </w:rPr>
              <w:t>DO通道13，</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4"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20</w:t>
            </w:r>
          </w:p>
        </w:tc>
        <w:tc>
          <w:tcPr>
            <w:tcW w:w="1021" w:type="dxa"/>
            <w:gridSpan w:val="2"/>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B10</w:t>
            </w:r>
          </w:p>
        </w:tc>
        <w:tc>
          <w:tcPr>
            <w:tcW w:w="1105"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COM4+</w:t>
            </w:r>
          </w:p>
        </w:tc>
        <w:tc>
          <w:tcPr>
            <w:tcW w:w="6804" w:type="dxa"/>
            <w:gridSpan w:val="5"/>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DO13~DO16公共端正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XS3端子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0"/>
              </w:rPr>
              <w:t>A1</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DO12</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DO通道12，</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0"/>
              </w:rPr>
              <w:t>A2</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DO10</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DO通道10，</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0"/>
              </w:rPr>
              <w:t>A3</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COM3-</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DO9-DO12公共端负，C110V-或DC24V-，续流二极管公共端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0"/>
              </w:rPr>
              <w:t>A</w:t>
            </w:r>
            <w:r>
              <w:rPr>
                <w:rFonts w:hint="default"/>
                <w:color w:val="FF0000"/>
                <w:szCs w:val="20"/>
              </w:rPr>
              <w:t>4</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DO8</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DO通道8，</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5</w:t>
            </w:r>
          </w:p>
        </w:tc>
        <w:tc>
          <w:tcPr>
            <w:tcW w:w="851" w:type="dxa"/>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0"/>
              </w:rPr>
              <w:t>A</w:t>
            </w:r>
            <w:r>
              <w:rPr>
                <w:rFonts w:hint="default"/>
                <w:color w:val="FF0000"/>
                <w:szCs w:val="20"/>
              </w:rPr>
              <w:t>5</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DO6</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DO通道6，</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6</w:t>
            </w:r>
          </w:p>
        </w:tc>
        <w:tc>
          <w:tcPr>
            <w:tcW w:w="851" w:type="dxa"/>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0"/>
              </w:rPr>
              <w:t>A</w:t>
            </w:r>
            <w:r>
              <w:rPr>
                <w:rFonts w:hint="default"/>
                <w:color w:val="FF0000"/>
                <w:szCs w:val="20"/>
              </w:rPr>
              <w:t>6</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COM2-</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DO5-DO8公共端负，C110V-或DC24V-，续流二极管公共端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default"/>
                <w:color w:val="FF0000"/>
                <w:szCs w:val="20"/>
              </w:rPr>
              <w:t>7</w:t>
            </w:r>
          </w:p>
        </w:tc>
        <w:tc>
          <w:tcPr>
            <w:tcW w:w="851" w:type="dxa"/>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0"/>
              </w:rPr>
              <w:t>A</w:t>
            </w:r>
            <w:r>
              <w:rPr>
                <w:rFonts w:hint="default"/>
                <w:color w:val="FF0000"/>
                <w:szCs w:val="20"/>
              </w:rPr>
              <w:t>7</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DO4</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DO通道4，</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8</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DO2</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DO通道2，</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9</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COM1-</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DO1-DO4公共端负，DC110V-或DC24V-，续流二极管公共端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DO11</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DO通道11，</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DO9</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DO通道9，</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COM3+</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DO9-DO12公共端正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B4</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DO7</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DO通道7，</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B5</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DO5</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DO通道5，</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B6</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COM2+</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DO5-DO8公共端正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B7</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DO3</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DO通道3，</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17</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B8</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DO1</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DO通道1，</w:t>
            </w:r>
            <w:r>
              <w:rPr>
                <w:rFonts w:hint="default" w:cs="Calibri"/>
                <w:color w:val="FF0000"/>
                <w:kern w:val="0"/>
                <w:szCs w:val="21"/>
              </w:rPr>
              <w:t>兼容DC24V(1A)和DC110V(0.2A)</w:t>
            </w:r>
            <w:r>
              <w:rPr>
                <w:rFonts w:hint="eastAsia" w:cs="Calibri"/>
                <w:color w:val="FF0000"/>
                <w:kern w:val="0"/>
                <w:szCs w:val="21"/>
              </w:rPr>
              <w:t>，</w:t>
            </w:r>
            <w:r>
              <w:rPr>
                <w:rFonts w:hint="default" w:cs="Calibri"/>
                <w:color w:val="FF0000"/>
                <w:kern w:val="0"/>
                <w:szCs w:val="21"/>
              </w:rPr>
              <w:t>隔离</w:t>
            </w:r>
            <w:r>
              <w:rPr>
                <w:rFonts w:hint="eastAsia" w:cs="Calibri"/>
                <w:color w:val="FF0000"/>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B9</w:t>
            </w:r>
          </w:p>
        </w:tc>
        <w:tc>
          <w:tcPr>
            <w:tcW w:w="1247"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COM1+</w:t>
            </w:r>
          </w:p>
        </w:tc>
        <w:tc>
          <w:tcPr>
            <w:tcW w:w="6662" w:type="dxa"/>
            <w:gridSpan w:val="4"/>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s="Calibri"/>
                <w:color w:val="FF0000"/>
                <w:kern w:val="0"/>
                <w:szCs w:val="21"/>
              </w:rPr>
              <w:t>DO1-DO4公共端正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XS4端子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PE</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PE</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NTC3-</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NTC温度传感器3接线2，模拟地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NTC3+</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NTC温度传感器3接线1，信号输入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PE</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NTC温度传感器1接线2，模拟地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7</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NTC温度传感器1接线1，信号输入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PE</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PE</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NTC4-</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NTC温度传感器4接线2，模拟地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NTC4+</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NTC温度传感器4接线1，信号输入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PE</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NTC2-</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NTC温度传感器2接线2，模拟地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B7</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NTC2+</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NTC温度传感器2接线1，信号输入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XS5端子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NC</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PE</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3RS485B</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第</w:t>
            </w:r>
            <w:r>
              <w:rPr>
                <w:rFonts w:hint="eastAsia" w:cs="Calibri"/>
                <w:color w:val="FF0000"/>
                <w:kern w:val="0"/>
                <w:szCs w:val="21"/>
              </w:rPr>
              <w:t>3</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A4</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PE</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A5</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2RS485B</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第</w:t>
            </w:r>
            <w:r>
              <w:rPr>
                <w:rFonts w:hint="eastAsia" w:cs="Calibri"/>
                <w:color w:val="FF0000"/>
                <w:kern w:val="0"/>
                <w:szCs w:val="21"/>
              </w:rPr>
              <w:t>2</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PE</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7</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1RS485B</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第</w:t>
            </w:r>
            <w:r>
              <w:rPr>
                <w:rFonts w:hint="eastAsia" w:cs="Calibri"/>
                <w:color w:val="FF0000"/>
                <w:kern w:val="0"/>
                <w:szCs w:val="21"/>
              </w:rPr>
              <w:t>1</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A8</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PE</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NC</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PE</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3RS485A</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第</w:t>
            </w:r>
            <w:r>
              <w:rPr>
                <w:rFonts w:hint="eastAsia" w:cs="Calibri"/>
                <w:color w:val="FF0000"/>
                <w:kern w:val="0"/>
                <w:szCs w:val="21"/>
              </w:rPr>
              <w:t>3</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4</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3RS485GND</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第</w:t>
            </w:r>
            <w:r>
              <w:rPr>
                <w:rFonts w:hint="eastAsia" w:cs="Calibri"/>
                <w:color w:val="FF0000"/>
                <w:kern w:val="0"/>
                <w:szCs w:val="21"/>
              </w:rPr>
              <w:t>3</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5</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2RS485A</w:t>
            </w:r>
          </w:p>
        </w:tc>
        <w:tc>
          <w:tcPr>
            <w:tcW w:w="6067" w:type="dxa"/>
            <w:gridSpan w:val="2"/>
            <w:vAlign w:val="center"/>
          </w:tcPr>
          <w:p>
            <w:pPr>
              <w:keepNext w:val="0"/>
              <w:keepLines w:val="0"/>
              <w:suppressLineNumbers w:val="0"/>
              <w:tabs>
                <w:tab w:val="left" w:pos="3535"/>
              </w:tabs>
              <w:spacing w:before="0" w:beforeAutospacing="0" w:after="0" w:afterAutospacing="0"/>
              <w:ind w:left="0" w:right="0" w:firstLine="0" w:firstLineChars="0"/>
              <w:rPr>
                <w:rFonts w:hint="eastAsia" w:eastAsia="宋体"/>
                <w:szCs w:val="20"/>
                <w:lang w:eastAsia="zh-CN"/>
              </w:rPr>
            </w:pPr>
            <w:r>
              <w:rPr>
                <w:rFonts w:hint="eastAsia" w:ascii="宋体" w:cs="宋体"/>
                <w:color w:val="FF0000"/>
                <w:kern w:val="0"/>
                <w:szCs w:val="21"/>
              </w:rPr>
              <w:t>第</w:t>
            </w:r>
            <w:r>
              <w:rPr>
                <w:rFonts w:hint="eastAsia" w:cs="Calibri"/>
                <w:color w:val="FF0000"/>
                <w:kern w:val="0"/>
                <w:szCs w:val="21"/>
              </w:rPr>
              <w:t>2</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A</w:t>
            </w:r>
            <w:r>
              <w:rPr>
                <w:rFonts w:hint="eastAsia" w:cs="Calibri"/>
                <w:color w:val="FF0000"/>
                <w:kern w:val="0"/>
                <w:szCs w:val="21"/>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6</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2RS485GND</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第</w:t>
            </w:r>
            <w:r>
              <w:rPr>
                <w:rFonts w:hint="eastAsia" w:cs="Calibri"/>
                <w:color w:val="FF0000"/>
                <w:kern w:val="0"/>
                <w:szCs w:val="21"/>
              </w:rPr>
              <w:t>2</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7</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1RS485A</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第</w:t>
            </w:r>
            <w:r>
              <w:rPr>
                <w:rFonts w:hint="eastAsia" w:cs="Calibri"/>
                <w:color w:val="FF0000"/>
                <w:kern w:val="0"/>
                <w:szCs w:val="21"/>
              </w:rPr>
              <w:t>1</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B8</w:t>
            </w:r>
          </w:p>
        </w:tc>
        <w:tc>
          <w:tcPr>
            <w:tcW w:w="1842"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1RS485GND</w:t>
            </w:r>
          </w:p>
        </w:tc>
        <w:tc>
          <w:tcPr>
            <w:tcW w:w="6067" w:type="dxa"/>
            <w:gridSpan w:val="2"/>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ascii="宋体" w:cs="宋体"/>
                <w:color w:val="FF0000"/>
                <w:kern w:val="0"/>
                <w:szCs w:val="21"/>
              </w:rPr>
              <w:t>第</w:t>
            </w:r>
            <w:r>
              <w:rPr>
                <w:rFonts w:hint="eastAsia" w:cs="Calibri"/>
                <w:color w:val="FF0000"/>
                <w:kern w:val="0"/>
                <w:szCs w:val="21"/>
              </w:rPr>
              <w:t>1</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XS6端子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COM2-</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A1-A8公共端负，DC24V-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IN14</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DI输入14,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IN12</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DI输入12,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IN10</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DI输入10,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IN8</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DI输入8,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IN6</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DI输入6,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7</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IN4</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DI输入4,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A8</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B1-B8公共端负，DC24V-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IN13</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DI输入13,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DI输入11,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IN9</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DI输入9,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IN7</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DI输入7,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IN5</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DI输入5,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trPr>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7</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B8</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XS7端子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NC</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COM4-</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A3-A9公共端负，DC24V-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IN28</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DI输入28,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IN26</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DI输入26,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IN24</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DI输入24,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IN22</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DI输入22,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7</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default"/>
                <w:szCs w:val="20"/>
              </w:rPr>
              <w:t>IN20</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DI输入20,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A8</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IN18</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DI输入18,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A9</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IN16</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DI输入16,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NC</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COM3-</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B3-B9公共端负，DC24V-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IN27</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DI输入27,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IN25</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DI输入25,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IN23</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DI输入23,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DI输入21,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7</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IN19</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DI输入19,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17</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B8</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IN17</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DI输入17,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B9</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IN15</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DI输入15,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XS8端子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COM5-</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A2-A7公共端负，DC24V-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IN40</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DI输入40,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IN38</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DI输入38,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IN36</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DI输入36,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IN34</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DI输入34,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IN32</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DI输入32,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7</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IN30</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DI输入30,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COM6-</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B2-B7公共端负，DC24V-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IN39</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DI输入39,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IN37</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DI输入37,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B4</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IN35</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DI输入35,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B5</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IN33</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DI输入33,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B6</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IN31</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DI输入31,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B7</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IN29</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color w:val="FF0000"/>
                <w:szCs w:val="21"/>
              </w:rPr>
              <w:t>DI输入29,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XS9端子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NC</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PE</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外壳地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24V-</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电源负极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B2</w:t>
            </w:r>
          </w:p>
        </w:tc>
        <w:tc>
          <w:tcPr>
            <w:tcW w:w="1417" w:type="dxa"/>
            <w:gridSpan w:val="3"/>
            <w:vAlign w:val="center"/>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24V+</w:t>
            </w:r>
          </w:p>
        </w:tc>
        <w:tc>
          <w:tcPr>
            <w:tcW w:w="6492" w:type="dxa"/>
            <w:gridSpan w:val="3"/>
            <w:vAlign w:val="center"/>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电源正极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Debug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MAIN_SWD_IO</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MAIN_SWD_CLK</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GND_DEBUG</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EXT_SWD_IO</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EXT_SWD_CLK</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VCC_DEBUG</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9"/>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PTU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1</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TX+</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数据发送+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2</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s="Calibri"/>
                <w:color w:val="FF0000"/>
                <w:kern w:val="0"/>
                <w:szCs w:val="21"/>
              </w:rPr>
              <w:t>RX+</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数据接收+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3</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s="Calibri"/>
                <w:color w:val="FF0000"/>
                <w:kern w:val="0"/>
                <w:szCs w:val="21"/>
              </w:rPr>
            </w:pPr>
            <w:r>
              <w:rPr>
                <w:rFonts w:hint="default" w:cs="Calibri"/>
                <w:color w:val="FF0000"/>
                <w:kern w:val="0"/>
                <w:szCs w:val="21"/>
              </w:rPr>
              <w:t>TX-</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数据发送-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gridSpan w:val="2"/>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51" w:type="dxa"/>
            <w:vAlign w:val="center"/>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4</w:t>
            </w:r>
          </w:p>
        </w:tc>
        <w:tc>
          <w:tcPr>
            <w:tcW w:w="2239" w:type="dxa"/>
            <w:gridSpan w:val="5"/>
            <w:vAlign w:val="center"/>
          </w:tcPr>
          <w:p>
            <w:pPr>
              <w:keepNext w:val="0"/>
              <w:keepLines w:val="0"/>
              <w:suppressLineNumbers w:val="0"/>
              <w:spacing w:before="0" w:beforeAutospacing="0" w:after="0" w:afterAutospacing="0" w:line="360" w:lineRule="auto"/>
              <w:ind w:left="0" w:right="0" w:firstLine="0" w:firstLineChars="0"/>
              <w:rPr>
                <w:rFonts w:hint="default" w:cs="Calibri"/>
                <w:color w:val="FF0000"/>
                <w:kern w:val="0"/>
                <w:szCs w:val="21"/>
              </w:rPr>
            </w:pPr>
            <w:r>
              <w:rPr>
                <w:rFonts w:hint="default" w:cs="Calibri"/>
                <w:color w:val="FF0000"/>
                <w:kern w:val="0"/>
                <w:szCs w:val="21"/>
              </w:rPr>
              <w:t>RX</w:t>
            </w:r>
            <w:r>
              <w:rPr>
                <w:rFonts w:hint="eastAsia" w:cs="Calibri"/>
                <w:color w:val="FF0000"/>
                <w:kern w:val="0"/>
                <w:szCs w:val="21"/>
              </w:rPr>
              <w:t>-</w:t>
            </w:r>
          </w:p>
        </w:tc>
        <w:tc>
          <w:tcPr>
            <w:tcW w:w="567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数据接收-</w:t>
            </w:r>
          </w:p>
        </w:tc>
      </w:tr>
    </w:tbl>
    <w:p>
      <w:pPr>
        <w:ind w:firstLine="480"/>
        <w:rPr>
          <w:color w:val="FF0000"/>
        </w:rPr>
      </w:pPr>
    </w:p>
    <w:p>
      <w:pPr>
        <w:widowControl/>
        <w:spacing w:line="240" w:lineRule="auto"/>
        <w:ind w:firstLine="0" w:firstLineChars="0"/>
        <w:jc w:val="left"/>
        <w:rPr>
          <w:rFonts w:eastAsia="黑体" w:asciiTheme="majorHAnsi" w:hAnsiTheme="majorHAnsi" w:cstheme="majorBidi"/>
          <w:color w:val="FF0000"/>
          <w:sz w:val="20"/>
          <w:szCs w:val="20"/>
        </w:rPr>
      </w:pPr>
      <w:r>
        <w:rPr>
          <w:color w:val="FF0000"/>
        </w:rPr>
        <w:br w:type="page"/>
      </w:r>
    </w:p>
    <w:p>
      <w:pPr>
        <w:pStyle w:val="3"/>
        <w:numPr>
          <w:ilvl w:val="0"/>
          <w:numId w:val="0"/>
        </w:numPr>
        <w:tabs>
          <w:tab w:val="left" w:pos="0"/>
          <w:tab w:val="clear" w:pos="567"/>
        </w:tabs>
        <w:spacing w:before="120"/>
        <w:ind w:left="567"/>
        <w:jc w:val="center"/>
        <w:rPr>
          <w:color w:val="FF0000"/>
        </w:rPr>
      </w:pPr>
      <w:bookmarkStart w:id="77" w:name="_Toc19469"/>
      <w:r>
        <w:rPr>
          <w:rFonts w:hint="eastAsia"/>
          <w:color w:val="FF0000"/>
        </w:rPr>
        <w:t xml:space="preserve">表 </w:t>
      </w:r>
      <w:r>
        <w:rPr>
          <w:color w:val="FF0000"/>
        </w:rPr>
        <w:fldChar w:fldCharType="begin"/>
      </w:r>
      <w:r>
        <w:rPr>
          <w:color w:val="FF0000"/>
        </w:rPr>
        <w:instrText xml:space="preserve"> </w:instrText>
      </w:r>
      <w:r>
        <w:rPr>
          <w:rFonts w:hint="eastAsia"/>
          <w:color w:val="FF0000"/>
        </w:rPr>
        <w:instrText xml:space="preserve">SEQ 表 \* ARABIC</w:instrText>
      </w:r>
      <w:r>
        <w:rPr>
          <w:color w:val="FF0000"/>
        </w:rPr>
        <w:instrText xml:space="preserve"> </w:instrText>
      </w:r>
      <w:r>
        <w:rPr>
          <w:color w:val="FF0000"/>
        </w:rPr>
        <w:fldChar w:fldCharType="separate"/>
      </w:r>
      <w:r>
        <w:rPr>
          <w:rFonts w:hint="eastAsia"/>
          <w:color w:val="FF0000"/>
        </w:rPr>
        <w:t>22</w:t>
      </w:r>
      <w:r>
        <w:rPr>
          <w:color w:val="FF0000"/>
        </w:rPr>
        <w:fldChar w:fldCharType="end"/>
      </w:r>
      <w:r>
        <w:rPr>
          <w:rFonts w:hint="eastAsia"/>
          <w:color w:val="FF0000"/>
        </w:rPr>
        <w:t xml:space="preserve"> KPC18-02(2.02.25.0334)型控制器端子定义</w:t>
      </w:r>
      <w:bookmarkEnd w:id="77"/>
    </w:p>
    <w:tbl>
      <w:tblPr>
        <w:tblStyle w:val="6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
        <w:gridCol w:w="49"/>
        <w:gridCol w:w="405"/>
        <w:gridCol w:w="255"/>
        <w:gridCol w:w="209"/>
        <w:gridCol w:w="954"/>
        <w:gridCol w:w="141"/>
        <w:gridCol w:w="539"/>
        <w:gridCol w:w="142"/>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1" w:type="dxa"/>
            <w:gridSpan w:val="11"/>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XS1端子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序号</w:t>
            </w:r>
          </w:p>
        </w:tc>
        <w:tc>
          <w:tcPr>
            <w:tcW w:w="709"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名称</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定义</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功能</w:t>
            </w:r>
            <w:r>
              <w:rPr>
                <w:rFonts w:hint="default"/>
                <w:color w:val="FF0000"/>
                <w:szCs w:val="2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709"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A1</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1485-GND</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1</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709"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A2</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1485-SHIELD</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ascii="宋体" w:cs="宋体"/>
                <w:color w:val="0000FF"/>
                <w:kern w:val="0"/>
                <w:szCs w:val="21"/>
              </w:rPr>
              <w:t>1</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709"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A3</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2485-GND</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0000FF"/>
                <w:kern w:val="0"/>
                <w:szCs w:val="21"/>
              </w:rPr>
              <w:t>2</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709"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w:t>
            </w:r>
            <w:r>
              <w:rPr>
                <w:rFonts w:hint="default"/>
                <w:color w:val="FF0000"/>
                <w:szCs w:val="20"/>
              </w:rPr>
              <w:t>4</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2485-SHIELD</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2</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709"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w:t>
            </w:r>
            <w:r>
              <w:rPr>
                <w:rFonts w:hint="default"/>
                <w:color w:val="FF0000"/>
                <w:szCs w:val="20"/>
              </w:rPr>
              <w:t>5</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3485-GND</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3</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709"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3485-SHIELD</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3</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7</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c>
          <w:tcPr>
            <w:tcW w:w="5982" w:type="dxa"/>
            <w:gridSpan w:val="2"/>
          </w:tcPr>
          <w:p>
            <w:pPr>
              <w:keepNext w:val="0"/>
              <w:keepLines w:val="0"/>
              <w:suppressLineNumbers w:val="0"/>
              <w:spacing w:before="0" w:beforeAutospacing="0" w:after="0" w:afterAutospacing="0"/>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B1</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1485-A</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1</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B2</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1485-B</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1</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B3</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2485-A</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2</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4</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2485-B</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2</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5</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3485-A</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3</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6</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3485-B</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ascii="宋体" w:cs="宋体"/>
                <w:color w:val="FF0000"/>
                <w:kern w:val="0"/>
                <w:szCs w:val="21"/>
              </w:rPr>
              <w:t>第</w:t>
            </w:r>
            <w:r>
              <w:rPr>
                <w:rFonts w:hint="eastAsia" w:cs="Calibri"/>
                <w:color w:val="FF0000"/>
                <w:kern w:val="0"/>
                <w:szCs w:val="21"/>
              </w:rPr>
              <w:t>3</w:t>
            </w:r>
            <w:r>
              <w:rPr>
                <w:rFonts w:hint="eastAsia" w:ascii="宋体" w:cs="宋体"/>
                <w:color w:val="FF0000"/>
                <w:kern w:val="0"/>
                <w:szCs w:val="21"/>
              </w:rPr>
              <w:t>组</w:t>
            </w:r>
            <w:r>
              <w:rPr>
                <w:rFonts w:hint="default" w:cs="Calibri"/>
                <w:color w:val="FF0000"/>
                <w:kern w:val="0"/>
                <w:szCs w:val="21"/>
              </w:rPr>
              <w:t>RS485</w:t>
            </w:r>
            <w:r>
              <w:rPr>
                <w:rFonts w:hint="eastAsia" w:ascii="宋体" w:cs="宋体"/>
                <w:color w:val="FF0000"/>
                <w:kern w:val="0"/>
                <w:szCs w:val="21"/>
              </w:rPr>
              <w:t>通信</w:t>
            </w:r>
            <w:r>
              <w:rPr>
                <w:rFonts w:hint="eastAsia" w:cs="Calibri"/>
                <w:color w:val="FF0000"/>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w:t>
            </w:r>
            <w:r>
              <w:rPr>
                <w:rFonts w:hint="default"/>
                <w:color w:val="FF0000"/>
                <w:szCs w:val="20"/>
              </w:rPr>
              <w:t>7</w:t>
            </w:r>
          </w:p>
        </w:tc>
        <w:tc>
          <w:tcPr>
            <w:tcW w:w="1843"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c>
          <w:tcPr>
            <w:tcW w:w="5982" w:type="dxa"/>
            <w:gridSpan w:val="2"/>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1" w:type="dxa"/>
            <w:gridSpan w:val="11"/>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XS2端子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0000FF"/>
                <w:szCs w:val="20"/>
              </w:rPr>
              <w:t>1</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A1</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(110)DO21</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21</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2</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A2</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COM4-</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DC110V-</w:t>
            </w:r>
            <w:r>
              <w:rPr>
                <w:rFonts w:hint="eastAsia"/>
                <w:color w:val="0000FF"/>
                <w:szCs w:val="20"/>
              </w:rPr>
              <w:t>或</w:t>
            </w:r>
            <w:r>
              <w:rPr>
                <w:rFonts w:hint="default"/>
                <w:color w:val="0000FF"/>
                <w:szCs w:val="20"/>
              </w:rPr>
              <w:t>DC24V-</w:t>
            </w:r>
            <w:r>
              <w:rPr>
                <w:rFonts w:hint="eastAsia"/>
                <w:color w:val="0000FF"/>
                <w:szCs w:val="20"/>
              </w:rPr>
              <w:t>，续流二极管公共端，续流二极管对端</w:t>
            </w:r>
            <w:r>
              <w:rPr>
                <w:rFonts w:hint="default"/>
                <w:color w:val="0000FF"/>
                <w:szCs w:val="20"/>
              </w:rPr>
              <w:t>(110)DO21-(110)DO22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3</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A3</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(110)DO11</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11</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4</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4</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(110)DO10</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10</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5</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5</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(110)DO9</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9</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6</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6</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(110)DO8</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8</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7</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7</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COM2-</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DC110V-</w:t>
            </w:r>
            <w:r>
              <w:rPr>
                <w:rFonts w:hint="eastAsia"/>
                <w:color w:val="0000FF"/>
                <w:szCs w:val="20"/>
              </w:rPr>
              <w:t>或</w:t>
            </w:r>
            <w:r>
              <w:rPr>
                <w:rFonts w:hint="default"/>
                <w:color w:val="0000FF"/>
                <w:szCs w:val="20"/>
              </w:rPr>
              <w:t>DC24V-</w:t>
            </w:r>
            <w:r>
              <w:rPr>
                <w:rFonts w:hint="eastAsia"/>
                <w:color w:val="0000FF"/>
                <w:szCs w:val="20"/>
              </w:rPr>
              <w:t>，续流二极管公共端，续流二极管对端</w:t>
            </w:r>
            <w:r>
              <w:rPr>
                <w:rFonts w:hint="default"/>
                <w:color w:val="0000FF"/>
                <w:szCs w:val="20"/>
              </w:rPr>
              <w:t>(110)DO8-(110)DO14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8</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8</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(110)DO4</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4</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9</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9</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(110)DO3</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3</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10</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10</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(110)DO2</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2</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11</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11</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12</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A</w:t>
            </w:r>
            <w:r>
              <w:rPr>
                <w:rFonts w:hint="default"/>
                <w:color w:val="0000FF"/>
                <w:szCs w:val="20"/>
              </w:rPr>
              <w:t>12</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COM1-</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DC110V-</w:t>
            </w:r>
            <w:r>
              <w:rPr>
                <w:rFonts w:hint="eastAsia"/>
                <w:color w:val="0000FF"/>
                <w:szCs w:val="20"/>
              </w:rPr>
              <w:t>或</w:t>
            </w:r>
            <w:r>
              <w:rPr>
                <w:rFonts w:hint="default"/>
                <w:color w:val="0000FF"/>
                <w:szCs w:val="20"/>
              </w:rPr>
              <w:t>DC24V-</w:t>
            </w:r>
            <w:r>
              <w:rPr>
                <w:rFonts w:hint="eastAsia"/>
                <w:color w:val="0000FF"/>
                <w:szCs w:val="20"/>
              </w:rPr>
              <w:t>，续流二极管公共端，续流二极管对端</w:t>
            </w:r>
            <w:r>
              <w:rPr>
                <w:rFonts w:hint="default"/>
                <w:color w:val="0000FF"/>
                <w:szCs w:val="20"/>
              </w:rPr>
              <w:t>(110)DO1-(110)DO7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13</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B1</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(110)DO22</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22</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14</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B2</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COM4+</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DC24V+/DC110V+</w:t>
            </w:r>
            <w:r>
              <w:rPr>
                <w:rFonts w:hint="eastAsia"/>
                <w:color w:val="0000FF"/>
                <w:szCs w:val="20"/>
              </w:rPr>
              <w:t>，</w:t>
            </w:r>
            <w:r>
              <w:rPr>
                <w:rFonts w:hint="default"/>
                <w:color w:val="0000FF"/>
                <w:szCs w:val="20"/>
              </w:rPr>
              <w:t>(110)DO21-(110)DO22</w:t>
            </w:r>
            <w:r>
              <w:rPr>
                <w:rFonts w:hint="eastAsia"/>
                <w:color w:val="0000FF"/>
                <w:szCs w:val="20"/>
              </w:rPr>
              <w:t>公共端，</w:t>
            </w:r>
            <w:r>
              <w:rPr>
                <w:rFonts w:hint="default"/>
                <w:color w:val="0000FF"/>
                <w:szCs w:val="20"/>
              </w:rPr>
              <w:t>DC24V(2A)</w:t>
            </w:r>
            <w:r>
              <w:rPr>
                <w:rFonts w:hint="eastAsia"/>
                <w:color w:val="0000FF"/>
                <w:szCs w:val="20"/>
              </w:rPr>
              <w:t>和</w:t>
            </w:r>
            <w:r>
              <w:rPr>
                <w:rFonts w:hint="default"/>
                <w:color w:val="0000FF"/>
                <w:szCs w:val="20"/>
              </w:rPr>
              <w:t>DC110V(0.4A)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15</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B3</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NC</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16</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B4</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(110)DO14</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14</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17</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B5</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(110)DO13</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13</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18</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B6</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(110)DO12</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12</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19</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B7</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COM2+</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DC24V+/DC110V+</w:t>
            </w:r>
            <w:r>
              <w:rPr>
                <w:rFonts w:hint="eastAsia"/>
                <w:color w:val="0000FF"/>
                <w:szCs w:val="20"/>
              </w:rPr>
              <w:t>，</w:t>
            </w:r>
            <w:r>
              <w:rPr>
                <w:rFonts w:hint="default"/>
                <w:color w:val="0000FF"/>
                <w:szCs w:val="20"/>
              </w:rPr>
              <w:t>(110)DO8-(110)DO14</w:t>
            </w:r>
            <w:r>
              <w:rPr>
                <w:rFonts w:hint="eastAsia"/>
                <w:color w:val="0000FF"/>
                <w:szCs w:val="20"/>
              </w:rPr>
              <w:t>公共端，</w:t>
            </w:r>
            <w:r>
              <w:rPr>
                <w:rFonts w:hint="default"/>
                <w:color w:val="0000FF"/>
                <w:szCs w:val="20"/>
              </w:rPr>
              <w:t>DC24V(7A)</w:t>
            </w:r>
            <w:r>
              <w:rPr>
                <w:rFonts w:hint="eastAsia"/>
                <w:color w:val="0000FF"/>
                <w:szCs w:val="20"/>
              </w:rPr>
              <w:t>和</w:t>
            </w:r>
            <w:r>
              <w:rPr>
                <w:rFonts w:hint="default"/>
                <w:color w:val="0000FF"/>
                <w:szCs w:val="20"/>
              </w:rPr>
              <w:t>DC110V(1.4A)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20</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B8</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NC</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21</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B9</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(110)DO7</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7</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22</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B10</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(110)DO6</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6</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23</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B11</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(110)DO5</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5</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24</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B12</w:t>
            </w:r>
          </w:p>
        </w:tc>
        <w:tc>
          <w:tcPr>
            <w:tcW w:w="1418"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COM1+</w:t>
            </w:r>
          </w:p>
        </w:tc>
        <w:tc>
          <w:tcPr>
            <w:tcW w:w="6662"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DC24V+/DC110V+</w:t>
            </w:r>
            <w:r>
              <w:rPr>
                <w:rFonts w:hint="eastAsia"/>
                <w:color w:val="0000FF"/>
                <w:szCs w:val="20"/>
              </w:rPr>
              <w:t>，</w:t>
            </w:r>
            <w:r>
              <w:rPr>
                <w:rFonts w:hint="default"/>
                <w:color w:val="0000FF"/>
                <w:szCs w:val="20"/>
              </w:rPr>
              <w:t>(110)DO1-(110)DO7</w:t>
            </w:r>
            <w:r>
              <w:rPr>
                <w:rFonts w:hint="eastAsia"/>
                <w:color w:val="0000FF"/>
                <w:szCs w:val="20"/>
              </w:rPr>
              <w:t>公共端，</w:t>
            </w:r>
            <w:r>
              <w:rPr>
                <w:rFonts w:hint="default"/>
                <w:color w:val="0000FF"/>
                <w:szCs w:val="20"/>
              </w:rPr>
              <w:t>DC24V(7A)</w:t>
            </w:r>
            <w:r>
              <w:rPr>
                <w:rFonts w:hint="eastAsia"/>
                <w:color w:val="0000FF"/>
                <w:szCs w:val="20"/>
              </w:rPr>
              <w:t>和</w:t>
            </w:r>
            <w:r>
              <w:rPr>
                <w:rFonts w:hint="default"/>
                <w:color w:val="0000FF"/>
                <w:szCs w:val="20"/>
              </w:rPr>
              <w:t>DC110V(1.4A)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1" w:type="dxa"/>
            <w:gridSpan w:val="11"/>
          </w:tcPr>
          <w:p>
            <w:pPr>
              <w:keepNext w:val="0"/>
              <w:keepLines w:val="0"/>
              <w:suppressLineNumbers w:val="0"/>
              <w:spacing w:before="0" w:beforeAutospacing="0" w:after="0" w:afterAutospacing="0" w:line="360" w:lineRule="auto"/>
              <w:ind w:left="0" w:right="0" w:firstLine="0" w:firstLineChars="0"/>
              <w:rPr>
                <w:rFonts w:hint="default" w:cs="Calibri"/>
                <w:color w:val="FF0000"/>
                <w:kern w:val="0"/>
                <w:szCs w:val="21"/>
              </w:rPr>
            </w:pPr>
            <w:r>
              <w:rPr>
                <w:rFonts w:hint="eastAsia" w:cs="Calibri"/>
                <w:color w:val="FF0000"/>
                <w:kern w:val="0"/>
                <w:szCs w:val="21"/>
              </w:rPr>
              <w:t>XS3端子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1</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(24)DO3</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数字量固态输出通道</w:t>
            </w:r>
            <w:r>
              <w:rPr>
                <w:rFonts w:hint="default"/>
                <w:color w:val="0000FF"/>
                <w:szCs w:val="20"/>
              </w:rPr>
              <w:t>3</w:t>
            </w:r>
            <w:r>
              <w:rPr>
                <w:rFonts w:hint="eastAsia"/>
                <w:color w:val="0000FF"/>
                <w:szCs w:val="20"/>
              </w:rPr>
              <w:t>，</w:t>
            </w:r>
            <w:r>
              <w:rPr>
                <w:rFonts w:hint="default"/>
                <w:color w:val="0000FF"/>
                <w:szCs w:val="20"/>
              </w:rPr>
              <w:t>DC24V/1A</w:t>
            </w:r>
            <w:r>
              <w:rPr>
                <w:rFonts w:hint="eastAsia"/>
                <w:color w:val="0000FF"/>
                <w:szCs w:val="20"/>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2</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(24)DO2</w:t>
            </w:r>
          </w:p>
        </w:tc>
        <w:tc>
          <w:tcPr>
            <w:tcW w:w="6521" w:type="dxa"/>
            <w:gridSpan w:val="3"/>
          </w:tcPr>
          <w:p>
            <w:pPr>
              <w:keepNext w:val="0"/>
              <w:keepLines w:val="0"/>
              <w:suppressLineNumbers w:val="0"/>
              <w:autoSpaceDE w:val="0"/>
              <w:autoSpaceDN w:val="0"/>
              <w:adjustRightInd w:val="0"/>
              <w:spacing w:before="0" w:beforeAutospacing="0" w:after="0" w:afterAutospacing="0"/>
              <w:ind w:left="0" w:right="0" w:firstLine="0" w:firstLineChars="0"/>
              <w:rPr>
                <w:rFonts w:hint="default"/>
                <w:color w:val="0000FF"/>
                <w:szCs w:val="20"/>
              </w:rPr>
            </w:pPr>
            <w:r>
              <w:rPr>
                <w:rFonts w:hint="eastAsia"/>
                <w:color w:val="0000FF"/>
                <w:szCs w:val="20"/>
              </w:rPr>
              <w:t>数字量固态输出通道</w:t>
            </w:r>
            <w:r>
              <w:rPr>
                <w:rFonts w:hint="default"/>
                <w:color w:val="0000FF"/>
                <w:szCs w:val="20"/>
              </w:rPr>
              <w:t>2</w:t>
            </w:r>
            <w:r>
              <w:rPr>
                <w:rFonts w:hint="eastAsia"/>
                <w:color w:val="0000FF"/>
                <w:szCs w:val="20"/>
              </w:rPr>
              <w:t>，</w:t>
            </w:r>
            <w:r>
              <w:rPr>
                <w:rFonts w:hint="default"/>
                <w:color w:val="0000FF"/>
                <w:szCs w:val="20"/>
              </w:rPr>
              <w:t>DC24V/1A</w:t>
            </w:r>
            <w:r>
              <w:rPr>
                <w:rFonts w:hint="eastAsia"/>
                <w:color w:val="0000FF"/>
                <w:szCs w:val="20"/>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3</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(24)DO1</w:t>
            </w:r>
          </w:p>
        </w:tc>
        <w:tc>
          <w:tcPr>
            <w:tcW w:w="6521" w:type="dxa"/>
            <w:gridSpan w:val="3"/>
            <w:vAlign w:val="center"/>
          </w:tcPr>
          <w:p>
            <w:pPr>
              <w:keepNext w:val="0"/>
              <w:keepLines w:val="0"/>
              <w:suppressLineNumbers w:val="0"/>
              <w:autoSpaceDE w:val="0"/>
              <w:autoSpaceDN w:val="0"/>
              <w:adjustRightInd w:val="0"/>
              <w:spacing w:before="0" w:beforeAutospacing="0" w:after="0" w:afterAutospacing="0"/>
              <w:ind w:left="0" w:right="0" w:firstLine="0" w:firstLineChars="0"/>
              <w:rPr>
                <w:rFonts w:hint="default"/>
                <w:color w:val="0000FF"/>
                <w:szCs w:val="20"/>
              </w:rPr>
            </w:pPr>
            <w:r>
              <w:rPr>
                <w:rFonts w:hint="eastAsia"/>
                <w:color w:val="0000FF"/>
                <w:szCs w:val="20"/>
              </w:rPr>
              <w:t>数字量固态输出通道</w:t>
            </w:r>
            <w:r>
              <w:rPr>
                <w:rFonts w:hint="default"/>
                <w:color w:val="0000FF"/>
                <w:szCs w:val="20"/>
              </w:rPr>
              <w:t>1</w:t>
            </w:r>
            <w:r>
              <w:rPr>
                <w:rFonts w:hint="eastAsia"/>
                <w:color w:val="0000FF"/>
                <w:szCs w:val="20"/>
              </w:rPr>
              <w:t>，</w:t>
            </w:r>
            <w:r>
              <w:rPr>
                <w:rFonts w:hint="default"/>
                <w:color w:val="0000FF"/>
                <w:szCs w:val="20"/>
              </w:rPr>
              <w:t>DC24V/1A</w:t>
            </w:r>
            <w:r>
              <w:rPr>
                <w:rFonts w:hint="eastAsia"/>
                <w:color w:val="0000FF"/>
                <w:szCs w:val="20"/>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4</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COM5-</w:t>
            </w:r>
          </w:p>
        </w:tc>
        <w:tc>
          <w:tcPr>
            <w:tcW w:w="6521" w:type="dxa"/>
            <w:gridSpan w:val="3"/>
            <w:vAlign w:val="center"/>
          </w:tcPr>
          <w:p>
            <w:pPr>
              <w:keepNext w:val="0"/>
              <w:keepLines w:val="0"/>
              <w:suppressLineNumbers w:val="0"/>
              <w:autoSpaceDE w:val="0"/>
              <w:autoSpaceDN w:val="0"/>
              <w:adjustRightInd w:val="0"/>
              <w:spacing w:before="0" w:beforeAutospacing="0" w:after="0" w:afterAutospacing="0"/>
              <w:ind w:left="0" w:right="0" w:firstLine="0" w:firstLineChars="0"/>
              <w:rPr>
                <w:rFonts w:hint="default"/>
                <w:color w:val="0000FF"/>
                <w:szCs w:val="20"/>
              </w:rPr>
            </w:pPr>
            <w:r>
              <w:rPr>
                <w:rFonts w:hint="default"/>
                <w:color w:val="0000FF"/>
                <w:szCs w:val="20"/>
              </w:rPr>
              <w:t>DC24V-</w:t>
            </w:r>
            <w:r>
              <w:rPr>
                <w:rFonts w:hint="eastAsia"/>
                <w:color w:val="0000FF"/>
                <w:szCs w:val="20"/>
              </w:rPr>
              <w:t>，续流二极管公共端，续流二极管对端</w:t>
            </w:r>
            <w:r>
              <w:rPr>
                <w:rFonts w:hint="default"/>
                <w:color w:val="0000FF"/>
                <w:szCs w:val="20"/>
              </w:rPr>
              <w:t>(24)DO1-(24)DO6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5</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(110)DO26</w:t>
            </w:r>
          </w:p>
        </w:tc>
        <w:tc>
          <w:tcPr>
            <w:tcW w:w="6521" w:type="dxa"/>
            <w:gridSpan w:val="3"/>
            <w:vAlign w:val="center"/>
          </w:tcPr>
          <w:p>
            <w:pPr>
              <w:keepNext w:val="0"/>
              <w:keepLines w:val="0"/>
              <w:suppressLineNumbers w:val="0"/>
              <w:autoSpaceDE w:val="0"/>
              <w:autoSpaceDN w:val="0"/>
              <w:adjustRightInd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26</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6</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6</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(110)DO25</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25</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7</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7</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(110)DO24</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24</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8</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w:t>
            </w:r>
            <w:r>
              <w:rPr>
                <w:rFonts w:hint="default"/>
                <w:color w:val="FF0000"/>
                <w:szCs w:val="20"/>
              </w:rPr>
              <w:t>8</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(110)DO23</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23</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A9</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(110)DO17</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17</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A10</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(110)DO16</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16</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A11</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(110)DO15</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15</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A12</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COM3-</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DC110V-</w:t>
            </w:r>
            <w:r>
              <w:rPr>
                <w:rFonts w:hint="eastAsia"/>
                <w:color w:val="0000FF"/>
                <w:szCs w:val="20"/>
              </w:rPr>
              <w:t>或</w:t>
            </w:r>
            <w:r>
              <w:rPr>
                <w:rFonts w:hint="default"/>
                <w:color w:val="0000FF"/>
                <w:szCs w:val="20"/>
              </w:rPr>
              <w:t>DC24V-</w:t>
            </w:r>
            <w:r>
              <w:rPr>
                <w:rFonts w:hint="eastAsia"/>
                <w:color w:val="0000FF"/>
                <w:szCs w:val="20"/>
              </w:rPr>
              <w:t>，续流二极管公共端，续流二极管对端</w:t>
            </w:r>
            <w:r>
              <w:rPr>
                <w:rFonts w:hint="default"/>
                <w:color w:val="0000FF"/>
                <w:szCs w:val="20"/>
              </w:rPr>
              <w:t>(110)DO15-(110)DO20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(24)DO6</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数字量固态输出通道</w:t>
            </w:r>
            <w:r>
              <w:rPr>
                <w:rFonts w:hint="default"/>
                <w:color w:val="0000FF"/>
                <w:szCs w:val="20"/>
              </w:rPr>
              <w:t>6</w:t>
            </w:r>
            <w:r>
              <w:rPr>
                <w:rFonts w:hint="eastAsia"/>
                <w:color w:val="0000FF"/>
                <w:szCs w:val="20"/>
              </w:rPr>
              <w:t>，</w:t>
            </w:r>
            <w:r>
              <w:rPr>
                <w:rFonts w:hint="default"/>
                <w:color w:val="0000FF"/>
                <w:szCs w:val="20"/>
              </w:rPr>
              <w:t>DC24V/1A</w:t>
            </w:r>
            <w:r>
              <w:rPr>
                <w:rFonts w:hint="eastAsia"/>
                <w:color w:val="0000FF"/>
                <w:szCs w:val="20"/>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1</w:t>
            </w:r>
            <w:r>
              <w:rPr>
                <w:rFonts w:hint="eastAsia"/>
                <w:color w:val="FF0000"/>
                <w:szCs w:val="20"/>
              </w:rPr>
              <w:t>4</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B2</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(24)DO5</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数字量固态输出通道</w:t>
            </w:r>
            <w:r>
              <w:rPr>
                <w:rFonts w:hint="default"/>
                <w:color w:val="0000FF"/>
                <w:szCs w:val="20"/>
              </w:rPr>
              <w:t>5</w:t>
            </w:r>
            <w:r>
              <w:rPr>
                <w:rFonts w:hint="eastAsia"/>
                <w:color w:val="0000FF"/>
                <w:szCs w:val="20"/>
              </w:rPr>
              <w:t>，</w:t>
            </w:r>
            <w:r>
              <w:rPr>
                <w:rFonts w:hint="default"/>
                <w:color w:val="0000FF"/>
                <w:szCs w:val="20"/>
              </w:rPr>
              <w:t>DC24V/1A</w:t>
            </w:r>
            <w:r>
              <w:rPr>
                <w:rFonts w:hint="eastAsia"/>
                <w:color w:val="0000FF"/>
                <w:szCs w:val="20"/>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1</w:t>
            </w:r>
            <w:r>
              <w:rPr>
                <w:rFonts w:hint="eastAsia"/>
                <w:color w:val="FF0000"/>
                <w:szCs w:val="20"/>
              </w:rPr>
              <w:t>5</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B3</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(24)DO4</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eastAsia"/>
                <w:color w:val="0000FF"/>
                <w:szCs w:val="20"/>
              </w:rPr>
              <w:t>数字量固态输出通道</w:t>
            </w:r>
            <w:r>
              <w:rPr>
                <w:rFonts w:hint="default"/>
                <w:color w:val="0000FF"/>
                <w:szCs w:val="20"/>
              </w:rPr>
              <w:t>4</w:t>
            </w:r>
            <w:r>
              <w:rPr>
                <w:rFonts w:hint="eastAsia"/>
                <w:color w:val="0000FF"/>
                <w:szCs w:val="20"/>
              </w:rPr>
              <w:t>，</w:t>
            </w:r>
            <w:r>
              <w:rPr>
                <w:rFonts w:hint="default"/>
                <w:color w:val="0000FF"/>
                <w:szCs w:val="20"/>
              </w:rPr>
              <w:t>DC24V/1A</w:t>
            </w:r>
            <w:r>
              <w:rPr>
                <w:rFonts w:hint="eastAsia"/>
                <w:color w:val="0000FF"/>
                <w:szCs w:val="20"/>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1</w:t>
            </w:r>
            <w:r>
              <w:rPr>
                <w:rFonts w:hint="eastAsia"/>
                <w:color w:val="FF0000"/>
                <w:szCs w:val="20"/>
              </w:rPr>
              <w:t>6</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B4</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COM5+</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DC24V+</w:t>
            </w:r>
            <w:r>
              <w:rPr>
                <w:rFonts w:hint="eastAsia"/>
                <w:color w:val="0000FF"/>
                <w:szCs w:val="20"/>
              </w:rPr>
              <w:t>，（</w:t>
            </w:r>
            <w:r>
              <w:rPr>
                <w:rFonts w:hint="default"/>
                <w:color w:val="0000FF"/>
                <w:szCs w:val="20"/>
              </w:rPr>
              <w:t>24</w:t>
            </w:r>
            <w:r>
              <w:rPr>
                <w:rFonts w:hint="eastAsia"/>
                <w:color w:val="0000FF"/>
                <w:szCs w:val="20"/>
              </w:rPr>
              <w:t>）</w:t>
            </w:r>
            <w:r>
              <w:rPr>
                <w:rFonts w:hint="default"/>
                <w:color w:val="0000FF"/>
                <w:szCs w:val="20"/>
              </w:rPr>
              <w:t>DO1-</w:t>
            </w:r>
            <w:r>
              <w:rPr>
                <w:rFonts w:hint="eastAsia"/>
                <w:color w:val="0000FF"/>
                <w:szCs w:val="20"/>
              </w:rPr>
              <w:t>（</w:t>
            </w:r>
            <w:r>
              <w:rPr>
                <w:rFonts w:hint="default"/>
                <w:color w:val="0000FF"/>
                <w:szCs w:val="20"/>
              </w:rPr>
              <w:t>24</w:t>
            </w:r>
            <w:r>
              <w:rPr>
                <w:rFonts w:hint="eastAsia"/>
                <w:color w:val="0000FF"/>
                <w:szCs w:val="20"/>
              </w:rPr>
              <w:t>）</w:t>
            </w:r>
            <w:r>
              <w:rPr>
                <w:rFonts w:hint="default"/>
                <w:color w:val="0000FF"/>
                <w:szCs w:val="20"/>
              </w:rPr>
              <w:t>DO6</w:t>
            </w:r>
            <w:r>
              <w:rPr>
                <w:rFonts w:hint="eastAsia"/>
                <w:color w:val="0000FF"/>
                <w:szCs w:val="20"/>
              </w:rPr>
              <w:t>公共端，</w:t>
            </w:r>
            <w:r>
              <w:rPr>
                <w:rFonts w:hint="default"/>
                <w:color w:val="0000FF"/>
                <w:szCs w:val="20"/>
              </w:rPr>
              <w:t>DC24V(6A)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default"/>
                <w:color w:val="FF0000"/>
                <w:szCs w:val="20"/>
              </w:rPr>
              <w:t>1</w:t>
            </w:r>
            <w:r>
              <w:rPr>
                <w:rFonts w:hint="eastAsia"/>
                <w:color w:val="FF0000"/>
                <w:szCs w:val="20"/>
              </w:rPr>
              <w:t>7</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B5</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COM(DO26)</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DC110V+</w:t>
            </w:r>
            <w:r>
              <w:rPr>
                <w:rFonts w:hint="eastAsia"/>
                <w:color w:val="0000FF"/>
                <w:szCs w:val="20"/>
              </w:rPr>
              <w:t>或</w:t>
            </w:r>
            <w:r>
              <w:rPr>
                <w:rFonts w:hint="default"/>
                <w:color w:val="0000FF"/>
                <w:szCs w:val="20"/>
              </w:rPr>
              <w:t>DC24V+</w:t>
            </w:r>
            <w:r>
              <w:rPr>
                <w:rFonts w:hint="eastAsia"/>
                <w:color w:val="0000FF"/>
                <w:szCs w:val="20"/>
              </w:rPr>
              <w:t>，对应</w:t>
            </w:r>
            <w:r>
              <w:rPr>
                <w:rFonts w:hint="default"/>
                <w:color w:val="0000FF"/>
                <w:szCs w:val="20"/>
              </w:rPr>
              <w:t>DO26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18</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B6</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COM(DO25)</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DC110V+</w:t>
            </w:r>
            <w:r>
              <w:rPr>
                <w:rFonts w:hint="eastAsia"/>
                <w:color w:val="0000FF"/>
                <w:szCs w:val="20"/>
              </w:rPr>
              <w:t>或</w:t>
            </w:r>
            <w:r>
              <w:rPr>
                <w:rFonts w:hint="default"/>
                <w:color w:val="0000FF"/>
                <w:szCs w:val="20"/>
              </w:rPr>
              <w:t>DC24V+</w:t>
            </w:r>
            <w:r>
              <w:rPr>
                <w:rFonts w:hint="eastAsia"/>
                <w:color w:val="0000FF"/>
                <w:szCs w:val="20"/>
              </w:rPr>
              <w:t>，对应</w:t>
            </w:r>
            <w:r>
              <w:rPr>
                <w:rFonts w:hint="default"/>
                <w:color w:val="0000FF"/>
                <w:szCs w:val="20"/>
              </w:rPr>
              <w:t>DO25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19</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B7</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COM(DO24)</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DC110V+</w:t>
            </w:r>
            <w:r>
              <w:rPr>
                <w:rFonts w:hint="eastAsia"/>
                <w:color w:val="0000FF"/>
                <w:szCs w:val="20"/>
              </w:rPr>
              <w:t>或</w:t>
            </w:r>
            <w:r>
              <w:rPr>
                <w:rFonts w:hint="default"/>
                <w:color w:val="0000FF"/>
                <w:szCs w:val="20"/>
              </w:rPr>
              <w:t>DC24V+</w:t>
            </w:r>
            <w:r>
              <w:rPr>
                <w:rFonts w:hint="eastAsia"/>
                <w:color w:val="0000FF"/>
                <w:szCs w:val="20"/>
              </w:rPr>
              <w:t>，对应</w:t>
            </w:r>
            <w:r>
              <w:rPr>
                <w:rFonts w:hint="default"/>
                <w:color w:val="0000FF"/>
                <w:szCs w:val="20"/>
              </w:rPr>
              <w:t>DO24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20</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default"/>
                <w:color w:val="FF0000"/>
                <w:szCs w:val="20"/>
              </w:rPr>
              <w:t>B</w:t>
            </w:r>
            <w:r>
              <w:rPr>
                <w:rFonts w:hint="eastAsia"/>
                <w:color w:val="FF0000"/>
                <w:szCs w:val="20"/>
              </w:rPr>
              <w:t>8</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COM(DO23)</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DC110V+</w:t>
            </w:r>
            <w:r>
              <w:rPr>
                <w:rFonts w:hint="eastAsia"/>
                <w:color w:val="0000FF"/>
                <w:szCs w:val="20"/>
              </w:rPr>
              <w:t>或</w:t>
            </w:r>
            <w:r>
              <w:rPr>
                <w:rFonts w:hint="default"/>
                <w:color w:val="0000FF"/>
                <w:szCs w:val="20"/>
              </w:rPr>
              <w:t>DC24V+</w:t>
            </w:r>
            <w:r>
              <w:rPr>
                <w:rFonts w:hint="eastAsia"/>
                <w:color w:val="0000FF"/>
                <w:szCs w:val="20"/>
              </w:rPr>
              <w:t>，对应</w:t>
            </w:r>
            <w:r>
              <w:rPr>
                <w:rFonts w:hint="default"/>
                <w:color w:val="0000FF"/>
                <w:szCs w:val="20"/>
              </w:rPr>
              <w:t>DO23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21</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B9</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(110)DO20</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20</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22</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B10</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(110)DO19</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19</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23</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B11</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(110)DO18</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DO</w:t>
            </w:r>
            <w:r>
              <w:rPr>
                <w:rFonts w:hint="eastAsia"/>
                <w:color w:val="0000FF"/>
                <w:szCs w:val="20"/>
              </w:rPr>
              <w:t>通道</w:t>
            </w:r>
            <w:r>
              <w:rPr>
                <w:rFonts w:hint="default"/>
                <w:color w:val="0000FF"/>
                <w:szCs w:val="20"/>
              </w:rPr>
              <w:t>18</w:t>
            </w:r>
            <w:r>
              <w:rPr>
                <w:rFonts w:hint="eastAsia"/>
                <w:color w:val="0000FF"/>
                <w:szCs w:val="20"/>
              </w:rPr>
              <w:t>，兼容</w:t>
            </w:r>
            <w:r>
              <w:rPr>
                <w:rFonts w:hint="default"/>
                <w:color w:val="0000FF"/>
                <w:szCs w:val="20"/>
              </w:rPr>
              <w:t>DC24V(1A)</w:t>
            </w:r>
            <w:r>
              <w:rPr>
                <w:rFonts w:hint="eastAsia"/>
                <w:color w:val="0000FF"/>
                <w:szCs w:val="20"/>
              </w:rPr>
              <w:t>和</w:t>
            </w:r>
            <w:r>
              <w:rPr>
                <w:rFonts w:hint="default"/>
                <w:color w:val="0000FF"/>
                <w:szCs w:val="20"/>
              </w:rPr>
              <w:t>DC110V(0.2A)</w:t>
            </w:r>
            <w:r>
              <w:rPr>
                <w:rFonts w:hint="eastAsia"/>
                <w:color w:val="0000FF"/>
                <w:szCs w:val="20"/>
              </w:rPr>
              <w:t>，隔离，共正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w:t>
            </w:r>
          </w:p>
        </w:tc>
        <w:tc>
          <w:tcPr>
            <w:tcW w:w="70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B12</w:t>
            </w:r>
          </w:p>
        </w:tc>
        <w:tc>
          <w:tcPr>
            <w:tcW w:w="1559" w:type="dxa"/>
            <w:gridSpan w:val="4"/>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COM3+</w:t>
            </w:r>
          </w:p>
        </w:tc>
        <w:tc>
          <w:tcPr>
            <w:tcW w:w="6521" w:type="dxa"/>
            <w:gridSpan w:val="3"/>
          </w:tcPr>
          <w:p>
            <w:pPr>
              <w:keepNext w:val="0"/>
              <w:keepLines w:val="0"/>
              <w:suppressLineNumbers w:val="0"/>
              <w:spacing w:before="0" w:beforeAutospacing="0" w:after="0" w:afterAutospacing="0"/>
              <w:ind w:left="0" w:right="0" w:firstLine="0" w:firstLineChars="0"/>
              <w:rPr>
                <w:rFonts w:hint="default"/>
                <w:color w:val="0000FF"/>
                <w:szCs w:val="20"/>
              </w:rPr>
            </w:pPr>
            <w:r>
              <w:rPr>
                <w:rFonts w:hint="default"/>
                <w:color w:val="0000FF"/>
                <w:szCs w:val="20"/>
              </w:rPr>
              <w:t>DC24V+/DC110V+</w:t>
            </w:r>
            <w:r>
              <w:rPr>
                <w:rFonts w:hint="eastAsia"/>
                <w:color w:val="0000FF"/>
                <w:szCs w:val="20"/>
              </w:rPr>
              <w:t>，（</w:t>
            </w:r>
            <w:r>
              <w:rPr>
                <w:rFonts w:hint="default"/>
                <w:color w:val="0000FF"/>
                <w:szCs w:val="20"/>
              </w:rPr>
              <w:t>110</w:t>
            </w:r>
            <w:r>
              <w:rPr>
                <w:rFonts w:hint="eastAsia"/>
                <w:color w:val="0000FF"/>
                <w:szCs w:val="20"/>
              </w:rPr>
              <w:t>）</w:t>
            </w:r>
            <w:r>
              <w:rPr>
                <w:rFonts w:hint="default"/>
                <w:color w:val="0000FF"/>
                <w:szCs w:val="20"/>
              </w:rPr>
              <w:t>DO15-</w:t>
            </w:r>
            <w:r>
              <w:rPr>
                <w:rFonts w:hint="eastAsia"/>
                <w:color w:val="0000FF"/>
                <w:szCs w:val="20"/>
              </w:rPr>
              <w:t>（</w:t>
            </w:r>
            <w:r>
              <w:rPr>
                <w:rFonts w:hint="default"/>
                <w:color w:val="0000FF"/>
                <w:szCs w:val="20"/>
              </w:rPr>
              <w:t>110</w:t>
            </w:r>
            <w:r>
              <w:rPr>
                <w:rFonts w:hint="eastAsia"/>
                <w:color w:val="0000FF"/>
                <w:szCs w:val="20"/>
              </w:rPr>
              <w:t>）</w:t>
            </w:r>
            <w:r>
              <w:rPr>
                <w:rFonts w:hint="default"/>
                <w:color w:val="0000FF"/>
                <w:szCs w:val="20"/>
              </w:rPr>
              <w:t>DO20</w:t>
            </w:r>
            <w:r>
              <w:rPr>
                <w:rFonts w:hint="eastAsia"/>
                <w:color w:val="0000FF"/>
                <w:szCs w:val="20"/>
              </w:rPr>
              <w:t>公共端，</w:t>
            </w:r>
            <w:r>
              <w:rPr>
                <w:rFonts w:hint="default"/>
                <w:color w:val="0000FF"/>
                <w:szCs w:val="20"/>
              </w:rPr>
              <w:t>DC24V(6A)</w:t>
            </w:r>
            <w:r>
              <w:rPr>
                <w:rFonts w:hint="eastAsia"/>
                <w:color w:val="0000FF"/>
                <w:szCs w:val="20"/>
              </w:rPr>
              <w:t>和</w:t>
            </w:r>
            <w:r>
              <w:rPr>
                <w:rFonts w:hint="default"/>
                <w:color w:val="0000FF"/>
                <w:szCs w:val="20"/>
              </w:rPr>
              <w:t>DC110V(1.2A)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1" w:type="dxa"/>
            <w:gridSpan w:val="11"/>
          </w:tcPr>
          <w:p>
            <w:pPr>
              <w:keepNext w:val="0"/>
              <w:keepLines w:val="0"/>
              <w:suppressLineNumbers w:val="0"/>
              <w:spacing w:before="0" w:beforeAutospacing="0" w:after="0" w:afterAutospacing="0" w:line="360" w:lineRule="auto"/>
              <w:ind w:left="0" w:right="0" w:firstLine="0" w:firstLineChars="0"/>
              <w:rPr>
                <w:rFonts w:hint="default" w:cs="Calibri"/>
                <w:color w:val="FF0000"/>
                <w:kern w:val="0"/>
                <w:szCs w:val="21"/>
              </w:rPr>
            </w:pPr>
            <w:r>
              <w:rPr>
                <w:rFonts w:hint="eastAsia" w:cs="Calibri"/>
                <w:color w:val="FF0000"/>
                <w:kern w:val="0"/>
                <w:szCs w:val="21"/>
              </w:rPr>
              <w:t>XS4端子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s="Calibri"/>
                <w:color w:val="FF0000"/>
                <w:kern w:val="0"/>
                <w:szCs w:val="21"/>
              </w:rPr>
            </w:pPr>
            <w:r>
              <w:rPr>
                <w:rFonts w:hint="eastAsia"/>
                <w:color w:val="FF0000"/>
                <w:szCs w:val="20"/>
              </w:rPr>
              <w:t>P24</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s="Calibri"/>
                <w:color w:val="FF0000"/>
                <w:kern w:val="0"/>
                <w:szCs w:val="21"/>
              </w:rPr>
            </w:pPr>
            <w:r>
              <w:rPr>
                <w:rFonts w:hint="eastAsia"/>
                <w:color w:val="FF0000"/>
                <w:szCs w:val="20"/>
              </w:rPr>
              <w:t>DC24V电源+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PE</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保护地，和机壳短路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N24</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DC24V电源-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1" w:type="dxa"/>
            <w:gridSpan w:val="11"/>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XS5端子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A4</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(24)IN4</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DI通道4，</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A5</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(24)COM1</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DI公共端(DC24V-)（IN1-IN8）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A6</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7</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A7</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(24)IN9</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DI通道9，</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A8</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(24)IN10</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DI通道10，</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A9</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(24)IN11</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DI通道11，</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A10</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(24)IN12</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DI通道12，</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(24)IN13</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DI通道13，</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(24)IN14</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DI通道14，</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(24)IN15</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DI通道15，</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A14</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(24)IN16</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DI通道16，</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15</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A15</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(24)COM2</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DI公共端(DC24V-)（IN9-IN24）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16</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(24)IN5</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DI通道5，</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17</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(24)IN6</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DI通道6，</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18</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(24)IN7</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DI通道7，</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19</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B4</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(24)IN8</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DI通道8，</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20</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B5</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(24)COM1</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DI公共端(DC24V-)（IN1-IN8）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B6</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B7</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(24)IN17</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DI通道17，</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B8</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(24)IN18</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DI通道18，</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B9</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(24)IN19</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DI通道19，</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25</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B10</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(24)IN20</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DI通道20，</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26</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(24)IN21</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DI通道21，</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27</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(24)IN22</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DI通道22，</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28</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(24)IN23</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DI通道23，</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29</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B14</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(24)IN24</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DI通道24，</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30</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B15</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(24)COM2</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DI公共端(DC24V-)（IN9-IN24）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1" w:type="dxa"/>
            <w:gridSpan w:val="11"/>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XS6端子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(24)IN25</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DI通道25，</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(24)IN26</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DI通道26，</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(24)IN27</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DI通道27，</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A4</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(24)IN28</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DI通道28，</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A5</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(24)IN29</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DI通道29，</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A6</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(24)IN30</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DI通道30，</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7</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A7</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(24)IN31</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DI通道31，</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A8</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(24)IN32</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DI通道32，</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A9</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(24)COM3</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DI公共端(DC24V-)（IN25-IN40）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(24)IN33</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DI通道33，</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(24)IN34</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DI通道34，</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(24)IN35</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DI通道35，</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B4</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(24)IN36</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DI通道36，</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B5</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(24)IN37</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DI通道37，</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15</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B6</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(24)IN38</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DI通道38，</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16</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B7</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(24)IN39</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DI通道39，</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17</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B8</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(24)IN40</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DI通道40，</w:t>
            </w:r>
            <w:r>
              <w:rPr>
                <w:rFonts w:hint="default"/>
                <w:color w:val="FF0000"/>
                <w:szCs w:val="20"/>
              </w:rPr>
              <w:t>DC24V</w:t>
            </w:r>
            <w:r>
              <w:rPr>
                <w:rFonts w:hint="eastAsia"/>
                <w:color w:val="FF0000"/>
                <w:szCs w:val="20"/>
              </w:rPr>
              <w:t>，光耦隔离，输入电流</w:t>
            </w:r>
            <w:r>
              <w:rPr>
                <w:rFonts w:hint="eastAsia" w:ascii="宋体" w:hAnsi="宋体" w:cs="宋体"/>
                <w:color w:val="FF0000"/>
                <w:szCs w:val="20"/>
              </w:rPr>
              <w:t>≥</w:t>
            </w:r>
            <w:r>
              <w:rPr>
                <w:rFonts w:hint="eastAsia" w:ascii="宋体" w:hAnsi="宋体"/>
                <w:color w:val="FF0000"/>
                <w:szCs w:val="20"/>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18</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B9</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(24)COM3</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DI公共端(DC24V-)（IN25-IN40）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1" w:type="dxa"/>
            <w:gridSpan w:val="11"/>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XS7端子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NTC1+</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NTC温度传感器1接线1，信号输入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NTC1-</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NTC温度传感器1接线2，模拟地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SHIELD</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A4</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NTC2+</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NTC温度传感器2接线1，信号输入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5</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A5</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NTC2-</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NTC温度传感器2接线2，模拟地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6</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A6</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SHIELD</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7</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A7</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NTC3+</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NTC温度传感器3接线1，信号输入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8</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A8</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NTC3-</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NTC温度传感器3接线2，模拟地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9</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A9</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SHIELD</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10</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A10</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NTC4+</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NTC温度传感器4接线1，信号输入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NTC4-</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NTC温度传感器4接线2，模拟地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A12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SHIELD</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1CAN-H</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第1路CAN的CAN-H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1CAN-L</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第1路CAN的CAN-L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15</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1CAN-GND</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第1路CAN的GND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16</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B4</w:t>
            </w:r>
          </w:p>
        </w:tc>
        <w:tc>
          <w:tcPr>
            <w:tcW w:w="1776"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1CAN-SHIELD</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第1路CAN的屏蔽地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17</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B5</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2CAN-H</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第2路CAN的CAN-H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18</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B6</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2CAN-L</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第2路CAN的CAN-L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19</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B7</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2CAN-GND</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第2路CAN的GND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20</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B8</w:t>
            </w:r>
          </w:p>
        </w:tc>
        <w:tc>
          <w:tcPr>
            <w:tcW w:w="1776"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2CAN-SHIELD</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第2路CAN的屏蔽地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21</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B9</w:t>
            </w:r>
          </w:p>
        </w:tc>
        <w:tc>
          <w:tcPr>
            <w:tcW w:w="1776"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22</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B10</w:t>
            </w:r>
          </w:p>
        </w:tc>
        <w:tc>
          <w:tcPr>
            <w:tcW w:w="1776"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23</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B11</w:t>
            </w:r>
          </w:p>
        </w:tc>
        <w:tc>
          <w:tcPr>
            <w:tcW w:w="1776"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24</w:t>
            </w:r>
          </w:p>
        </w:tc>
        <w:tc>
          <w:tcPr>
            <w:tcW w:w="869" w:type="dxa"/>
            <w:gridSpan w:val="3"/>
          </w:tcPr>
          <w:p>
            <w:pPr>
              <w:keepNext w:val="0"/>
              <w:keepLines w:val="0"/>
              <w:suppressLineNumbers w:val="0"/>
              <w:spacing w:before="0" w:beforeAutospacing="0" w:after="0" w:afterAutospacing="0"/>
              <w:ind w:left="0" w:right="0" w:firstLine="0" w:firstLineChars="0"/>
              <w:rPr>
                <w:rFonts w:hint="default"/>
                <w:color w:val="FF0000"/>
                <w:szCs w:val="20"/>
              </w:rPr>
            </w:pPr>
            <w:r>
              <w:rPr>
                <w:rFonts w:hint="eastAsia"/>
                <w:color w:val="FF0000"/>
                <w:szCs w:val="20"/>
              </w:rPr>
              <w:t>B12</w:t>
            </w:r>
          </w:p>
        </w:tc>
        <w:tc>
          <w:tcPr>
            <w:tcW w:w="1776" w:type="dxa"/>
            <w:gridSpan w:val="4"/>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r>
              <w:rPr>
                <w:rFonts w:hint="eastAsia"/>
                <w:color w:val="FF0000"/>
                <w:szCs w:val="20"/>
              </w:rPr>
              <w:t>/</w:t>
            </w:r>
          </w:p>
        </w:tc>
        <w:tc>
          <w:tcPr>
            <w:tcW w:w="5840" w:type="dxa"/>
            <w:vAlign w:val="center"/>
          </w:tcPr>
          <w:p>
            <w:pPr>
              <w:keepNext w:val="0"/>
              <w:keepLines w:val="0"/>
              <w:suppressLineNumbers w:val="0"/>
              <w:spacing w:before="0" w:beforeAutospacing="0" w:after="0" w:afterAutospacing="0" w:line="360" w:lineRule="auto"/>
              <w:ind w:left="0" w:right="0" w:firstLine="0" w:firstLineChars="0"/>
              <w:rPr>
                <w:rFonts w:hint="default"/>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51" w:type="dxa"/>
            <w:gridSpan w:val="11"/>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PTU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1</w:t>
            </w:r>
          </w:p>
        </w:tc>
        <w:tc>
          <w:tcPr>
            <w:tcW w:w="869" w:type="dxa"/>
            <w:gridSpan w:val="3"/>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1</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TX+</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数据发送+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2</w:t>
            </w:r>
          </w:p>
        </w:tc>
        <w:tc>
          <w:tcPr>
            <w:tcW w:w="869" w:type="dxa"/>
            <w:gridSpan w:val="3"/>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2</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default" w:cs="Calibri"/>
                <w:kern w:val="0"/>
                <w:szCs w:val="21"/>
              </w:rPr>
              <w:t>RX+</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数据接收+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3</w:t>
            </w:r>
          </w:p>
        </w:tc>
        <w:tc>
          <w:tcPr>
            <w:tcW w:w="869" w:type="dxa"/>
            <w:gridSpan w:val="3"/>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3</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s="Calibri"/>
                <w:kern w:val="0"/>
                <w:szCs w:val="21"/>
              </w:rPr>
            </w:pPr>
            <w:r>
              <w:rPr>
                <w:rFonts w:hint="default" w:cs="Calibri"/>
                <w:kern w:val="0"/>
                <w:szCs w:val="21"/>
              </w:rPr>
              <w:t>TX-</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数据发送-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gridSpan w:val="3"/>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szCs w:val="20"/>
              </w:rPr>
              <w:t>4</w:t>
            </w:r>
          </w:p>
        </w:tc>
        <w:tc>
          <w:tcPr>
            <w:tcW w:w="869" w:type="dxa"/>
            <w:gridSpan w:val="3"/>
          </w:tcPr>
          <w:p>
            <w:pPr>
              <w:keepNext w:val="0"/>
              <w:keepLines w:val="0"/>
              <w:suppressLineNumbers w:val="0"/>
              <w:spacing w:before="0" w:beforeAutospacing="0" w:after="0" w:afterAutospacing="0"/>
              <w:ind w:left="0" w:right="0" w:firstLine="0" w:firstLineChars="0"/>
              <w:rPr>
                <w:rFonts w:hint="default"/>
                <w:szCs w:val="20"/>
              </w:rPr>
            </w:pPr>
            <w:r>
              <w:rPr>
                <w:rFonts w:hint="default"/>
                <w:szCs w:val="20"/>
              </w:rPr>
              <w:t>4</w:t>
            </w:r>
          </w:p>
        </w:tc>
        <w:tc>
          <w:tcPr>
            <w:tcW w:w="1776" w:type="dxa"/>
            <w:gridSpan w:val="4"/>
          </w:tcPr>
          <w:p>
            <w:pPr>
              <w:keepNext w:val="0"/>
              <w:keepLines w:val="0"/>
              <w:suppressLineNumbers w:val="0"/>
              <w:spacing w:before="0" w:beforeAutospacing="0" w:after="0" w:afterAutospacing="0" w:line="360" w:lineRule="auto"/>
              <w:ind w:left="0" w:right="0" w:firstLine="0" w:firstLineChars="0"/>
              <w:rPr>
                <w:rFonts w:hint="default" w:cs="Calibri"/>
                <w:kern w:val="0"/>
                <w:szCs w:val="21"/>
              </w:rPr>
            </w:pPr>
            <w:r>
              <w:rPr>
                <w:rFonts w:hint="default" w:cs="Calibri"/>
                <w:kern w:val="0"/>
                <w:szCs w:val="21"/>
              </w:rPr>
              <w:t>RX</w:t>
            </w:r>
            <w:r>
              <w:rPr>
                <w:rFonts w:hint="eastAsia" w:cs="Calibri"/>
                <w:kern w:val="0"/>
                <w:szCs w:val="21"/>
              </w:rPr>
              <w:t>-</w:t>
            </w:r>
          </w:p>
        </w:tc>
        <w:tc>
          <w:tcPr>
            <w:tcW w:w="5840" w:type="dxa"/>
          </w:tcPr>
          <w:p>
            <w:pPr>
              <w:keepNext w:val="0"/>
              <w:keepLines w:val="0"/>
              <w:suppressLineNumbers w:val="0"/>
              <w:spacing w:before="0" w:beforeAutospacing="0" w:after="0" w:afterAutospacing="0" w:line="360" w:lineRule="auto"/>
              <w:ind w:left="0" w:right="0" w:firstLine="0" w:firstLineChars="0"/>
              <w:rPr>
                <w:rFonts w:hint="default"/>
                <w:szCs w:val="20"/>
              </w:rPr>
            </w:pPr>
            <w:r>
              <w:rPr>
                <w:rFonts w:hint="eastAsia"/>
                <w:color w:val="FF0000"/>
                <w:szCs w:val="20"/>
              </w:rPr>
              <w:t>数据接收-</w:t>
            </w:r>
          </w:p>
        </w:tc>
      </w:tr>
    </w:tbl>
    <w:p>
      <w:pPr>
        <w:pStyle w:val="16"/>
        <w:ind w:firstLine="400"/>
        <w:jc w:val="center"/>
        <w:rPr>
          <w:color w:val="2F5597" w:themeColor="accent5" w:themeShade="BF"/>
        </w:rPr>
      </w:pPr>
    </w:p>
    <w:p>
      <w:pPr>
        <w:widowControl/>
        <w:spacing w:line="240" w:lineRule="auto"/>
        <w:ind w:firstLine="0" w:firstLineChars="0"/>
        <w:jc w:val="left"/>
        <w:rPr>
          <w:rFonts w:eastAsia="黑体" w:asciiTheme="majorHAnsi" w:hAnsiTheme="majorHAnsi" w:cstheme="majorBidi"/>
          <w:color w:val="2F5597" w:themeColor="accent5" w:themeShade="BF"/>
          <w:sz w:val="20"/>
          <w:szCs w:val="20"/>
        </w:rPr>
      </w:pPr>
      <w:r>
        <w:rPr>
          <w:color w:val="2F5597" w:themeColor="accent5" w:themeShade="BF"/>
        </w:rPr>
        <w:br w:type="page"/>
      </w:r>
    </w:p>
    <w:p>
      <w:pPr>
        <w:pStyle w:val="3"/>
        <w:numPr>
          <w:ilvl w:val="0"/>
          <w:numId w:val="0"/>
        </w:numPr>
        <w:tabs>
          <w:tab w:val="left" w:pos="0"/>
          <w:tab w:val="clear" w:pos="567"/>
        </w:tabs>
        <w:spacing w:before="120"/>
        <w:ind w:left="567" w:hanging="567"/>
        <w:jc w:val="center"/>
        <w:rPr>
          <w:color w:val="2F5597" w:themeColor="accent5" w:themeShade="BF"/>
        </w:rPr>
      </w:pPr>
      <w:bookmarkStart w:id="78" w:name="_Toc17587"/>
      <w:r>
        <w:rPr>
          <w:rFonts w:hint="eastAsia"/>
          <w:color w:val="2F5597" w:themeColor="accent5" w:themeShade="BF"/>
        </w:rPr>
        <w:t xml:space="preserve">表 </w:t>
      </w:r>
      <w:r>
        <w:rPr>
          <w:color w:val="2F5597" w:themeColor="accent5" w:themeShade="BF"/>
        </w:rPr>
        <w:fldChar w:fldCharType="begin"/>
      </w:r>
      <w:r>
        <w:rPr>
          <w:color w:val="2F5597" w:themeColor="accent5" w:themeShade="BF"/>
        </w:rPr>
        <w:instrText xml:space="preserve"> </w:instrText>
      </w:r>
      <w:r>
        <w:rPr>
          <w:rFonts w:hint="eastAsia"/>
          <w:color w:val="2F5597" w:themeColor="accent5" w:themeShade="BF"/>
        </w:rPr>
        <w:instrText xml:space="preserve">SEQ 表 \* ARABIC</w:instrText>
      </w:r>
      <w:r>
        <w:rPr>
          <w:color w:val="2F5597" w:themeColor="accent5" w:themeShade="BF"/>
        </w:rPr>
        <w:instrText xml:space="preserve"> </w:instrText>
      </w:r>
      <w:r>
        <w:rPr>
          <w:color w:val="2F5597" w:themeColor="accent5" w:themeShade="BF"/>
        </w:rPr>
        <w:fldChar w:fldCharType="separate"/>
      </w:r>
      <w:r>
        <w:rPr>
          <w:rFonts w:hint="eastAsia"/>
          <w:color w:val="2F5597" w:themeColor="accent5" w:themeShade="BF"/>
        </w:rPr>
        <w:t>23</w:t>
      </w:r>
      <w:r>
        <w:rPr>
          <w:color w:val="2F5597" w:themeColor="accent5" w:themeShade="BF"/>
        </w:rPr>
        <w:fldChar w:fldCharType="end"/>
      </w:r>
      <w:r>
        <w:rPr>
          <w:rFonts w:hint="eastAsia"/>
          <w:color w:val="2F5597" w:themeColor="accent5" w:themeShade="BF"/>
        </w:rPr>
        <w:t xml:space="preserve"> KPC18-02(2</w:t>
      </w:r>
      <w:r>
        <w:rPr>
          <w:color w:val="2F5597" w:themeColor="accent5" w:themeShade="BF"/>
        </w:rPr>
        <w:t>.02.25.0339</w:t>
      </w:r>
      <w:r>
        <w:rPr>
          <w:rFonts w:hint="eastAsia"/>
          <w:color w:val="2F5597" w:themeColor="accent5" w:themeShade="BF"/>
        </w:rPr>
        <w:t>)型控制器端子定义</w:t>
      </w:r>
      <w:bookmarkEnd w:id="78"/>
    </w:p>
    <w:tbl>
      <w:tblPr>
        <w:tblStyle w:val="6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761"/>
        <w:gridCol w:w="1235"/>
        <w:gridCol w:w="15"/>
        <w:gridCol w:w="70"/>
        <w:gridCol w:w="595"/>
        <w:gridCol w:w="284"/>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XS1端子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序号</w:t>
            </w:r>
          </w:p>
        </w:tc>
        <w:tc>
          <w:tcPr>
            <w:tcW w:w="761"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名称</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定义</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功能</w:t>
            </w:r>
            <w:r>
              <w:rPr>
                <w:rFonts w:hint="default"/>
                <w:color w:val="2F5597" w:themeColor="accent5" w:themeShade="BF"/>
                <w:szCs w:val="2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SD_DO32</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s="Calibri"/>
                <w:color w:val="2F5597" w:themeColor="accent5" w:themeShade="BF"/>
                <w:kern w:val="0"/>
                <w:szCs w:val="21"/>
              </w:rPr>
              <w:t>固态输出通道，</w:t>
            </w:r>
            <w:r>
              <w:rPr>
                <w:rFonts w:hint="default" w:cs="Calibri"/>
                <w:color w:val="2F5597" w:themeColor="accent5" w:themeShade="BF"/>
                <w:kern w:val="0"/>
                <w:szCs w:val="21"/>
              </w:rPr>
              <w:t>DC24V/</w:t>
            </w:r>
            <w:r>
              <w:rPr>
                <w:rFonts w:hint="eastAsia" w:cs="Calibri"/>
                <w:color w:val="2F5597" w:themeColor="accent5" w:themeShade="BF"/>
                <w:kern w:val="0"/>
                <w:szCs w:val="21"/>
              </w:rPr>
              <w:t>1</w:t>
            </w:r>
            <w:r>
              <w:rPr>
                <w:rFonts w:hint="default" w:cs="Calibri"/>
                <w:color w:val="2F5597" w:themeColor="accent5" w:themeShade="BF"/>
                <w:kern w:val="0"/>
                <w:szCs w:val="21"/>
              </w:rPr>
              <w:t>A</w:t>
            </w:r>
            <w:r>
              <w:rPr>
                <w:rFonts w:hint="eastAsia" w:cs="Calibri"/>
                <w:color w:val="2F5597" w:themeColor="accent5" w:themeShade="BF"/>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SD_DO30</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s="Calibri"/>
                <w:color w:val="2F5597" w:themeColor="accent5" w:themeShade="BF"/>
                <w:kern w:val="0"/>
                <w:szCs w:val="21"/>
              </w:rPr>
              <w:t>固态输出通道，</w:t>
            </w:r>
            <w:r>
              <w:rPr>
                <w:rFonts w:hint="default" w:cs="Calibri"/>
                <w:color w:val="2F5597" w:themeColor="accent5" w:themeShade="BF"/>
                <w:kern w:val="0"/>
                <w:szCs w:val="21"/>
              </w:rPr>
              <w:t>DC24V/</w:t>
            </w:r>
            <w:r>
              <w:rPr>
                <w:rFonts w:hint="eastAsia" w:cs="Calibri"/>
                <w:color w:val="2F5597" w:themeColor="accent5" w:themeShade="BF"/>
                <w:kern w:val="0"/>
                <w:szCs w:val="21"/>
              </w:rPr>
              <w:t>1</w:t>
            </w:r>
            <w:r>
              <w:rPr>
                <w:rFonts w:hint="default" w:cs="Calibri"/>
                <w:color w:val="2F5597" w:themeColor="accent5" w:themeShade="BF"/>
                <w:kern w:val="0"/>
                <w:szCs w:val="21"/>
              </w:rPr>
              <w:t>A</w:t>
            </w:r>
            <w:r>
              <w:rPr>
                <w:rFonts w:hint="eastAsia" w:cs="Calibri"/>
                <w:color w:val="2F5597" w:themeColor="accent5" w:themeShade="BF"/>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SD_DO28</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s="Calibri"/>
                <w:color w:val="2F5597" w:themeColor="accent5" w:themeShade="BF"/>
                <w:kern w:val="0"/>
                <w:szCs w:val="21"/>
              </w:rPr>
              <w:t>固态输出通道，</w:t>
            </w:r>
            <w:r>
              <w:rPr>
                <w:rFonts w:hint="default" w:cs="Calibri"/>
                <w:color w:val="2F5597" w:themeColor="accent5" w:themeShade="BF"/>
                <w:kern w:val="0"/>
                <w:szCs w:val="21"/>
              </w:rPr>
              <w:t>DC24V/</w:t>
            </w:r>
            <w:r>
              <w:rPr>
                <w:rFonts w:hint="eastAsia" w:cs="Calibri"/>
                <w:color w:val="2F5597" w:themeColor="accent5" w:themeShade="BF"/>
                <w:kern w:val="0"/>
                <w:szCs w:val="21"/>
              </w:rPr>
              <w:t>1</w:t>
            </w:r>
            <w:r>
              <w:rPr>
                <w:rFonts w:hint="default" w:cs="Calibri"/>
                <w:color w:val="2F5597" w:themeColor="accent5" w:themeShade="BF"/>
                <w:kern w:val="0"/>
                <w:szCs w:val="21"/>
              </w:rPr>
              <w:t>A</w:t>
            </w:r>
            <w:r>
              <w:rPr>
                <w:rFonts w:hint="eastAsia" w:cs="Calibri"/>
                <w:color w:val="2F5597" w:themeColor="accent5" w:themeShade="BF"/>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COM6-</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SD_DO27~SD_DO32公共端负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DO22</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DO通道22，</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DOM7-</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DO21和DO22公共端负,</w:t>
            </w:r>
            <w:r>
              <w:rPr>
                <w:rFonts w:hint="eastAsia" w:cs="Calibri"/>
                <w:color w:val="2F5597" w:themeColor="accent5" w:themeShade="BF"/>
                <w:kern w:val="0"/>
                <w:szCs w:val="21"/>
              </w:rPr>
              <w:t xml:space="preserve"> 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SD_DO31</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固态输出通道，</w:t>
            </w:r>
            <w:r>
              <w:rPr>
                <w:rFonts w:hint="default" w:cs="Calibri"/>
                <w:color w:val="2F5597" w:themeColor="accent5" w:themeShade="BF"/>
                <w:kern w:val="0"/>
                <w:szCs w:val="21"/>
              </w:rPr>
              <w:t>DC24V/</w:t>
            </w:r>
            <w:r>
              <w:rPr>
                <w:rFonts w:hint="eastAsia" w:cs="Calibri"/>
                <w:color w:val="2F5597" w:themeColor="accent5" w:themeShade="BF"/>
                <w:kern w:val="0"/>
                <w:szCs w:val="21"/>
              </w:rPr>
              <w:t>1</w:t>
            </w:r>
            <w:r>
              <w:rPr>
                <w:rFonts w:hint="default" w:cs="Calibri"/>
                <w:color w:val="2F5597" w:themeColor="accent5" w:themeShade="BF"/>
                <w:kern w:val="0"/>
                <w:szCs w:val="21"/>
              </w:rPr>
              <w:t>A</w:t>
            </w:r>
            <w:r>
              <w:rPr>
                <w:rFonts w:hint="eastAsia" w:cs="Calibri"/>
                <w:color w:val="2F5597" w:themeColor="accent5" w:themeShade="BF"/>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SD_DO29</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固态输出通道，</w:t>
            </w:r>
            <w:r>
              <w:rPr>
                <w:rFonts w:hint="default" w:cs="Calibri"/>
                <w:color w:val="2F5597" w:themeColor="accent5" w:themeShade="BF"/>
                <w:kern w:val="0"/>
                <w:szCs w:val="21"/>
              </w:rPr>
              <w:t>DC24V/</w:t>
            </w:r>
            <w:r>
              <w:rPr>
                <w:rFonts w:hint="eastAsia" w:cs="Calibri"/>
                <w:color w:val="2F5597" w:themeColor="accent5" w:themeShade="BF"/>
                <w:kern w:val="0"/>
                <w:szCs w:val="21"/>
              </w:rPr>
              <w:t>1</w:t>
            </w:r>
            <w:r>
              <w:rPr>
                <w:rFonts w:hint="default" w:cs="Calibri"/>
                <w:color w:val="2F5597" w:themeColor="accent5" w:themeShade="BF"/>
                <w:kern w:val="0"/>
                <w:szCs w:val="21"/>
              </w:rPr>
              <w:t>A</w:t>
            </w:r>
            <w:r>
              <w:rPr>
                <w:rFonts w:hint="eastAsia" w:cs="Calibri"/>
                <w:color w:val="2F5597" w:themeColor="accent5" w:themeShade="BF"/>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SD_DO27</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固态输出通道，</w:t>
            </w:r>
            <w:r>
              <w:rPr>
                <w:rFonts w:hint="default" w:cs="Calibri"/>
                <w:color w:val="2F5597" w:themeColor="accent5" w:themeShade="BF"/>
                <w:kern w:val="0"/>
                <w:szCs w:val="21"/>
              </w:rPr>
              <w:t>DC24V/</w:t>
            </w:r>
            <w:r>
              <w:rPr>
                <w:rFonts w:hint="eastAsia" w:cs="Calibri"/>
                <w:color w:val="2F5597" w:themeColor="accent5" w:themeShade="BF"/>
                <w:kern w:val="0"/>
                <w:szCs w:val="21"/>
              </w:rPr>
              <w:t>1</w:t>
            </w:r>
            <w:r>
              <w:rPr>
                <w:rFonts w:hint="default" w:cs="Calibri"/>
                <w:color w:val="2F5597" w:themeColor="accent5" w:themeShade="BF"/>
                <w:kern w:val="0"/>
                <w:szCs w:val="21"/>
              </w:rPr>
              <w:t>A</w:t>
            </w:r>
            <w:r>
              <w:rPr>
                <w:rFonts w:hint="eastAsia" w:cs="Calibri"/>
                <w:color w:val="2F5597" w:themeColor="accent5" w:themeShade="BF"/>
                <w:kern w:val="0"/>
                <w:szCs w:val="21"/>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COM6+</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SD_DO27~SD_DO32公共端负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DO21</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DO通道21，</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COM7+</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DO21和DO22公共端正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XS2端子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DO25B</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DO双路输出25B, </w:t>
            </w:r>
            <w:r>
              <w:rPr>
                <w:rFonts w:hint="eastAsia" w:cs="Calibri"/>
                <w:color w:val="2F5597" w:themeColor="accent5" w:themeShade="BF"/>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DO24B</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DO双路输出24B, </w:t>
            </w:r>
            <w:r>
              <w:rPr>
                <w:rFonts w:hint="eastAsia" w:cs="Calibri"/>
                <w:color w:val="2F5597" w:themeColor="accent5" w:themeShade="BF"/>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DO23B</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DO双路输出23B, </w:t>
            </w:r>
            <w:r>
              <w:rPr>
                <w:rFonts w:hint="eastAsia" w:cs="Calibri"/>
                <w:color w:val="2F5597" w:themeColor="accent5" w:themeShade="BF"/>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DO26B</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DO双路输出26B, </w:t>
            </w:r>
            <w:r>
              <w:rPr>
                <w:rFonts w:hint="eastAsia" w:cs="Calibri"/>
                <w:color w:val="2F5597" w:themeColor="accent5" w:themeShade="BF"/>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DO20</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DO通道20，</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DO18</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DO通道20，</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COM5-</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DO17~DO20公共端负, </w:t>
            </w:r>
            <w:r>
              <w:rPr>
                <w:rFonts w:hint="eastAsia" w:cs="Calibri"/>
                <w:color w:val="2F5597" w:themeColor="accent5" w:themeShade="BF"/>
                <w:kern w:val="0"/>
                <w:szCs w:val="21"/>
              </w:rPr>
              <w:t>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8</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DO16</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DO通道16，</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9</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DO14</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DO通道14，</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10</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COM4-</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DO13~DO16公共端负,</w:t>
            </w:r>
            <w:r>
              <w:rPr>
                <w:rFonts w:hint="eastAsia" w:cs="Calibri"/>
                <w:color w:val="2F5597" w:themeColor="accent5" w:themeShade="BF"/>
                <w:kern w:val="0"/>
                <w:szCs w:val="21"/>
              </w:rPr>
              <w:t xml:space="preserve"> 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DO25A</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DO双路输出25A, </w:t>
            </w:r>
            <w:r>
              <w:rPr>
                <w:rFonts w:hint="eastAsia" w:cs="Calibri"/>
                <w:color w:val="2F5597" w:themeColor="accent5" w:themeShade="BF"/>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DO24A</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DO双路输出24A, </w:t>
            </w:r>
            <w:r>
              <w:rPr>
                <w:rFonts w:hint="eastAsia" w:cs="Calibri"/>
                <w:color w:val="2F5597" w:themeColor="accent5" w:themeShade="BF"/>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DO23A</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DO双路输出23A, </w:t>
            </w:r>
            <w:r>
              <w:rPr>
                <w:rFonts w:hint="eastAsia" w:cs="Calibri"/>
                <w:color w:val="2F5597" w:themeColor="accent5" w:themeShade="BF"/>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DO26A</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 xml:space="preserve">DO双路输出26A, </w:t>
            </w:r>
            <w:r>
              <w:rPr>
                <w:rFonts w:hint="eastAsia" w:cs="Calibri"/>
                <w:color w:val="2F5597" w:themeColor="accent5" w:themeShade="BF"/>
                <w:kern w:val="0"/>
                <w:szCs w:val="21"/>
              </w:rPr>
              <w:t>DC110V或DC24V兼容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DO19</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DO通道19，</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DO17</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DO通道17，</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COM5+</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DO17~DO20公共端正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B8</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DO15</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DO通道15，</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B9</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DO13</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DO通道13，</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B10</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COM4+</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DO13~DO16公共端正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XS3端子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DO12</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DO通道12，</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DO10</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DO通道10，</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COM3-</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DO9-DO12公共端负，C110V-或DC24V-，续流二极管公共端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4</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DO8</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DO通道8，</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5</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DO6</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DO通道6，</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6</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COM2-</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DO5-DO8公共端负，C110V-或DC24V-，续流二极管公共端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7</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DO4</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DO通道4，</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8</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DO2</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DO通道2，</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9</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COM1-</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DO1-DO4公共端负，DC110V-或DC24V-，续流二极管公共端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DO11</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DO通道11，</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DO9</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DO通道9，</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COM3+</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DO9-DO12公共端正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B4</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DO7</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DO通道7，</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B5</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DO5</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DO通道5，</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B6</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COM2+</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DO5-DO8公共端正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B7</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DO3</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DO通道3，</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B8</w:t>
            </w:r>
          </w:p>
        </w:tc>
        <w:tc>
          <w:tcPr>
            <w:tcW w:w="1235"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DO1</w:t>
            </w:r>
          </w:p>
        </w:tc>
        <w:tc>
          <w:tcPr>
            <w:tcW w:w="6634" w:type="dxa"/>
            <w:gridSpan w:val="5"/>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DO通道1，</w:t>
            </w:r>
            <w:r>
              <w:rPr>
                <w:rFonts w:hint="default" w:cs="Calibri"/>
                <w:color w:val="2F5597" w:themeColor="accent5" w:themeShade="BF"/>
                <w:kern w:val="0"/>
                <w:szCs w:val="21"/>
              </w:rPr>
              <w:t>兼容DC24V(1A)和DC110V(0.2A)</w:t>
            </w:r>
            <w:r>
              <w:rPr>
                <w:rFonts w:hint="eastAsia" w:cs="Calibri"/>
                <w:color w:val="2F5597" w:themeColor="accent5" w:themeShade="BF"/>
                <w:kern w:val="0"/>
                <w:szCs w:val="21"/>
              </w:rPr>
              <w:t>，</w:t>
            </w:r>
            <w:r>
              <w:rPr>
                <w:rFonts w:hint="default" w:cs="Calibri"/>
                <w:color w:val="2F5597" w:themeColor="accent5" w:themeShade="BF"/>
                <w:kern w:val="0"/>
                <w:szCs w:val="21"/>
              </w:rPr>
              <w:t>隔离</w:t>
            </w:r>
            <w:r>
              <w:rPr>
                <w:rFonts w:hint="eastAsia" w:cs="Calibri"/>
                <w:color w:val="2F5597" w:themeColor="accent5" w:themeShade="BF"/>
                <w:kern w:val="0"/>
                <w:szCs w:val="21"/>
              </w:rPr>
              <w:t>，共正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B9</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COM1+</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s="Calibri"/>
                <w:color w:val="2F5597" w:themeColor="accent5" w:themeShade="BF"/>
                <w:kern w:val="0"/>
                <w:szCs w:val="21"/>
              </w:rPr>
              <w:t>DO1-DO4公共端正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XS4端子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915"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5954" w:type="dxa"/>
            <w:gridSpan w:val="2"/>
            <w:vAlign w:val="center"/>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915"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5954" w:type="dxa"/>
            <w:gridSpan w:val="2"/>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1915"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NTC3-</w:t>
            </w:r>
          </w:p>
        </w:tc>
        <w:tc>
          <w:tcPr>
            <w:tcW w:w="5954" w:type="dxa"/>
            <w:gridSpan w:val="2"/>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NTC温度传感器3接线2，模拟地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4</w:t>
            </w:r>
          </w:p>
        </w:tc>
        <w:tc>
          <w:tcPr>
            <w:tcW w:w="1915"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NTC3+</w:t>
            </w:r>
          </w:p>
        </w:tc>
        <w:tc>
          <w:tcPr>
            <w:tcW w:w="5954" w:type="dxa"/>
            <w:gridSpan w:val="2"/>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NTC温度传感器3接线1，信号输入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5</w:t>
            </w:r>
          </w:p>
        </w:tc>
        <w:tc>
          <w:tcPr>
            <w:tcW w:w="1915"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5954" w:type="dxa"/>
            <w:gridSpan w:val="2"/>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6</w:t>
            </w:r>
          </w:p>
        </w:tc>
        <w:tc>
          <w:tcPr>
            <w:tcW w:w="1915"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NTC1-</w:t>
            </w:r>
          </w:p>
        </w:tc>
        <w:tc>
          <w:tcPr>
            <w:tcW w:w="5954" w:type="dxa"/>
            <w:gridSpan w:val="2"/>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NTC温度传感器1接线2，模拟地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7</w:t>
            </w:r>
          </w:p>
        </w:tc>
        <w:tc>
          <w:tcPr>
            <w:tcW w:w="1915"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NTC1+</w:t>
            </w:r>
          </w:p>
        </w:tc>
        <w:tc>
          <w:tcPr>
            <w:tcW w:w="5954" w:type="dxa"/>
            <w:gridSpan w:val="2"/>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NTC温度传感器1接线1，信号输入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NTC4-</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NTC温度传感器4接线2，模拟地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NTC4+</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NTC温度传感器4接线1，信号输入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温度传感器屏蔽地，与温度传感器屏蔽线单端相接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NTC2-</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NTC温度传感器2接线2，模拟地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NTC2+</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NTC温度传感器2接线1，信号输入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XS5端子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NC</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3RS485B</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3</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w:t>
            </w:r>
            <w:r>
              <w:rPr>
                <w:rFonts w:hint="eastAsia" w:cs="Calibri"/>
                <w:color w:val="2F5597" w:themeColor="accent5" w:themeShade="BF"/>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2RS485B</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2</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w:t>
            </w:r>
            <w:r>
              <w:rPr>
                <w:rFonts w:hint="eastAsia" w:cs="Calibri"/>
                <w:color w:val="2F5597" w:themeColor="accent5" w:themeShade="BF"/>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1RS485B</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1</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w:t>
            </w:r>
            <w:r>
              <w:rPr>
                <w:rFonts w:hint="eastAsia" w:cs="Calibri"/>
                <w:color w:val="2F5597" w:themeColor="accent5" w:themeShade="BF"/>
                <w:kern w:val="0"/>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A8</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NC</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3RS485A</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3</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w:t>
            </w:r>
            <w:r>
              <w:rPr>
                <w:rFonts w:hint="eastAsia" w:cs="Calibri"/>
                <w:color w:val="2F5597" w:themeColor="accent5" w:themeShade="BF"/>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3RS485GND</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3</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2RS485A</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2</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w:t>
            </w:r>
            <w:r>
              <w:rPr>
                <w:rFonts w:hint="eastAsia" w:cs="Calibri"/>
                <w:color w:val="2F5597" w:themeColor="accent5" w:themeShade="BF"/>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2RS485GND</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2</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1RS485A</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1</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w:t>
            </w:r>
            <w:r>
              <w:rPr>
                <w:rFonts w:hint="eastAsia" w:cs="Calibri"/>
                <w:color w:val="2F5597" w:themeColor="accent5" w:themeShade="BF"/>
                <w:kern w:val="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B8</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1RS485GND</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ascii="宋体" w:cs="宋体"/>
                <w:color w:val="2F5597" w:themeColor="accent5" w:themeShade="BF"/>
                <w:kern w:val="0"/>
                <w:szCs w:val="21"/>
              </w:rPr>
              <w:t>第</w:t>
            </w:r>
            <w:r>
              <w:rPr>
                <w:rFonts w:hint="eastAsia" w:cs="Calibri"/>
                <w:color w:val="2F5597" w:themeColor="accent5" w:themeShade="BF"/>
                <w:kern w:val="0"/>
                <w:szCs w:val="21"/>
              </w:rPr>
              <w:t>1</w:t>
            </w:r>
            <w:r>
              <w:rPr>
                <w:rFonts w:hint="eastAsia" w:ascii="宋体" w:cs="宋体"/>
                <w:color w:val="2F5597" w:themeColor="accent5" w:themeShade="BF"/>
                <w:kern w:val="0"/>
                <w:szCs w:val="21"/>
              </w:rPr>
              <w:t>组</w:t>
            </w:r>
            <w:r>
              <w:rPr>
                <w:rFonts w:hint="default" w:cs="Calibri"/>
                <w:color w:val="2F5597" w:themeColor="accent5" w:themeShade="BF"/>
                <w:kern w:val="0"/>
                <w:szCs w:val="21"/>
              </w:rPr>
              <w:t>RS485</w:t>
            </w:r>
            <w:r>
              <w:rPr>
                <w:rFonts w:hint="eastAsia" w:ascii="宋体" w:cs="宋体"/>
                <w:color w:val="2F5597" w:themeColor="accent5" w:themeShade="BF"/>
                <w:kern w:val="0"/>
                <w:szCs w:val="21"/>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XS6端子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320" w:type="dxa"/>
            <w:gridSpan w:val="3"/>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COM2-</w:t>
            </w:r>
          </w:p>
        </w:tc>
        <w:tc>
          <w:tcPr>
            <w:tcW w:w="6549" w:type="dxa"/>
            <w:gridSpan w:val="3"/>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A1-A8公共端负，DC24V-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320" w:type="dxa"/>
            <w:gridSpan w:val="3"/>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IN14</w:t>
            </w:r>
          </w:p>
        </w:tc>
        <w:tc>
          <w:tcPr>
            <w:tcW w:w="6549" w:type="dxa"/>
            <w:gridSpan w:val="3"/>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DI输入14,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1320" w:type="dxa"/>
            <w:gridSpan w:val="3"/>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IN12</w:t>
            </w:r>
          </w:p>
        </w:tc>
        <w:tc>
          <w:tcPr>
            <w:tcW w:w="6549" w:type="dxa"/>
            <w:gridSpan w:val="3"/>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DI输入12,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A4</w:t>
            </w:r>
          </w:p>
        </w:tc>
        <w:tc>
          <w:tcPr>
            <w:tcW w:w="1320" w:type="dxa"/>
            <w:gridSpan w:val="3"/>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IN10</w:t>
            </w:r>
          </w:p>
        </w:tc>
        <w:tc>
          <w:tcPr>
            <w:tcW w:w="6549" w:type="dxa"/>
            <w:gridSpan w:val="3"/>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DI输入10,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A5</w:t>
            </w:r>
          </w:p>
        </w:tc>
        <w:tc>
          <w:tcPr>
            <w:tcW w:w="1320" w:type="dxa"/>
            <w:gridSpan w:val="3"/>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IN8</w:t>
            </w:r>
          </w:p>
        </w:tc>
        <w:tc>
          <w:tcPr>
            <w:tcW w:w="6549" w:type="dxa"/>
            <w:gridSpan w:val="3"/>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DI输入8,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6</w:t>
            </w:r>
          </w:p>
        </w:tc>
        <w:tc>
          <w:tcPr>
            <w:tcW w:w="1320" w:type="dxa"/>
            <w:gridSpan w:val="3"/>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IN6</w:t>
            </w:r>
          </w:p>
        </w:tc>
        <w:tc>
          <w:tcPr>
            <w:tcW w:w="6549" w:type="dxa"/>
            <w:gridSpan w:val="3"/>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DI输入6,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7</w:t>
            </w:r>
          </w:p>
        </w:tc>
        <w:tc>
          <w:tcPr>
            <w:tcW w:w="1320" w:type="dxa"/>
            <w:gridSpan w:val="3"/>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IN4</w:t>
            </w:r>
          </w:p>
        </w:tc>
        <w:tc>
          <w:tcPr>
            <w:tcW w:w="6549" w:type="dxa"/>
            <w:gridSpan w:val="3"/>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DI输入4,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A8</w:t>
            </w:r>
          </w:p>
        </w:tc>
        <w:tc>
          <w:tcPr>
            <w:tcW w:w="1320" w:type="dxa"/>
            <w:gridSpan w:val="3"/>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w:t>
            </w:r>
          </w:p>
        </w:tc>
        <w:tc>
          <w:tcPr>
            <w:tcW w:w="6549" w:type="dxa"/>
            <w:gridSpan w:val="3"/>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COM1-</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B1-B8公共端负，DC24V-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IN13</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DI输入13,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IN11</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DI输入11,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IN9</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DI输入9,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IN7</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DI输入7,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IN5</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DI输入5,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trPr>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B8</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XS7端子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NC</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COM4-</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A3-A9公共端负，DC24V-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IN28</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DI输入28,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IN26</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DI输入26,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IN24</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DI输入24,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IN22</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DI输入22,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IN20</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DI输入20,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A8</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IN18</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DI输入18,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A9</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IN16</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DI输入16,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NC</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COM3-</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B3-B9公共端负，DC24V-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IN27</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DI输入27,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IN25</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DI输入25,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IN23</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DI输入23,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IN21</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DI输入21,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w:t>
            </w:r>
            <w:r>
              <w:rPr>
                <w:rFonts w:hint="default"/>
                <w:color w:val="2F5597" w:themeColor="accent5" w:themeShade="BF"/>
                <w:szCs w:val="20"/>
              </w:rPr>
              <w:t>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IN19</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DI输入19,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B8</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IN17</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DI输入17,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B9</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IN15</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DI输入15,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XS8端子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COM5-</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A2-A7公共端负，DC24V-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IN40</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DI输入40,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IN38</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DI输入38,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IN36</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DI输入36,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IN34</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DI输入34,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IN32</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DI输入32,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7</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w:t>
            </w:r>
            <w:r>
              <w:rPr>
                <w:rFonts w:hint="default"/>
                <w:color w:val="2F5597" w:themeColor="accent5" w:themeShade="BF"/>
                <w:szCs w:val="20"/>
              </w:rPr>
              <w:t>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IN30</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DI输入30,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8</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COM6-</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B2-B7公共端负，DC24V-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9</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IN39</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DI输入39,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10</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IN37</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DI输入37,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IN35</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DI输入35,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B5</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IN33</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DI输入33,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B6</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IN31</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DI输入31,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B7</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IN29</w:t>
            </w:r>
          </w:p>
        </w:tc>
        <w:tc>
          <w:tcPr>
            <w:tcW w:w="6619" w:type="dxa"/>
            <w:gridSpan w:val="4"/>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1"/>
              </w:rPr>
              <w:t>DI输入29, 输入电压24V±30%,隔离电压2000V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XS9端子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1250" w:type="dxa"/>
            <w:gridSpan w:val="2"/>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NC</w:t>
            </w:r>
          </w:p>
        </w:tc>
        <w:tc>
          <w:tcPr>
            <w:tcW w:w="6619" w:type="dxa"/>
            <w:gridSpan w:val="4"/>
            <w:vAlign w:val="bottom"/>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1250" w:type="dxa"/>
            <w:gridSpan w:val="2"/>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PE</w:t>
            </w:r>
          </w:p>
        </w:tc>
        <w:tc>
          <w:tcPr>
            <w:tcW w:w="6619" w:type="dxa"/>
            <w:gridSpan w:val="4"/>
            <w:vAlign w:val="bottom"/>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外壳地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B1</w:t>
            </w:r>
          </w:p>
        </w:tc>
        <w:tc>
          <w:tcPr>
            <w:tcW w:w="1250" w:type="dxa"/>
            <w:gridSpan w:val="2"/>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24V-</w:t>
            </w:r>
          </w:p>
        </w:tc>
        <w:tc>
          <w:tcPr>
            <w:tcW w:w="6619" w:type="dxa"/>
            <w:gridSpan w:val="4"/>
            <w:vAlign w:val="bottom"/>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电源负极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B2</w:t>
            </w:r>
          </w:p>
        </w:tc>
        <w:tc>
          <w:tcPr>
            <w:tcW w:w="1250" w:type="dxa"/>
            <w:gridSpan w:val="2"/>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24V+</w:t>
            </w:r>
          </w:p>
        </w:tc>
        <w:tc>
          <w:tcPr>
            <w:tcW w:w="6619" w:type="dxa"/>
            <w:gridSpan w:val="4"/>
            <w:vAlign w:val="bottom"/>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电源正极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Debug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A1</w:t>
            </w:r>
          </w:p>
        </w:tc>
        <w:tc>
          <w:tcPr>
            <w:tcW w:w="2199" w:type="dxa"/>
            <w:gridSpan w:val="5"/>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MAIN_SWD_IO</w:t>
            </w:r>
          </w:p>
        </w:tc>
        <w:tc>
          <w:tcPr>
            <w:tcW w:w="5670" w:type="dxa"/>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A2</w:t>
            </w:r>
          </w:p>
        </w:tc>
        <w:tc>
          <w:tcPr>
            <w:tcW w:w="2199" w:type="dxa"/>
            <w:gridSpan w:val="5"/>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MAIN_SWD_CLK</w:t>
            </w:r>
          </w:p>
        </w:tc>
        <w:tc>
          <w:tcPr>
            <w:tcW w:w="5670" w:type="dxa"/>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A3</w:t>
            </w:r>
          </w:p>
        </w:tc>
        <w:tc>
          <w:tcPr>
            <w:tcW w:w="2199" w:type="dxa"/>
            <w:gridSpan w:val="5"/>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GND_DEBUG</w:t>
            </w:r>
          </w:p>
        </w:tc>
        <w:tc>
          <w:tcPr>
            <w:tcW w:w="5670" w:type="dxa"/>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B1</w:t>
            </w:r>
          </w:p>
        </w:tc>
        <w:tc>
          <w:tcPr>
            <w:tcW w:w="2199" w:type="dxa"/>
            <w:gridSpan w:val="5"/>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EXT_SWD_IO</w:t>
            </w:r>
          </w:p>
        </w:tc>
        <w:tc>
          <w:tcPr>
            <w:tcW w:w="5670" w:type="dxa"/>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5</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B2</w:t>
            </w:r>
          </w:p>
        </w:tc>
        <w:tc>
          <w:tcPr>
            <w:tcW w:w="2199" w:type="dxa"/>
            <w:gridSpan w:val="5"/>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EXT_SWD_CLK</w:t>
            </w:r>
          </w:p>
        </w:tc>
        <w:tc>
          <w:tcPr>
            <w:tcW w:w="5670" w:type="dxa"/>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时钟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6</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B3</w:t>
            </w:r>
          </w:p>
        </w:tc>
        <w:tc>
          <w:tcPr>
            <w:tcW w:w="2199" w:type="dxa"/>
            <w:gridSpan w:val="5"/>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olor w:val="2F5597" w:themeColor="accent5" w:themeShade="BF"/>
                <w:szCs w:val="20"/>
              </w:rPr>
              <w:t>VCC_DEBUG</w:t>
            </w:r>
          </w:p>
        </w:tc>
        <w:tc>
          <w:tcPr>
            <w:tcW w:w="5670" w:type="dxa"/>
            <w:vAlign w:val="bottom"/>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8"/>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PTU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1</w:t>
            </w:r>
          </w:p>
        </w:tc>
        <w:tc>
          <w:tcPr>
            <w:tcW w:w="2199" w:type="dxa"/>
            <w:gridSpan w:val="5"/>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TX+</w:t>
            </w:r>
          </w:p>
        </w:tc>
        <w:tc>
          <w:tcPr>
            <w:tcW w:w="5670"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数据发送+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2</w:t>
            </w:r>
          </w:p>
        </w:tc>
        <w:tc>
          <w:tcPr>
            <w:tcW w:w="2199" w:type="dxa"/>
            <w:gridSpan w:val="5"/>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default" w:cs="Calibri"/>
                <w:color w:val="2F5597" w:themeColor="accent5" w:themeShade="BF"/>
                <w:kern w:val="0"/>
                <w:szCs w:val="21"/>
              </w:rPr>
              <w:t>RX+</w:t>
            </w:r>
          </w:p>
        </w:tc>
        <w:tc>
          <w:tcPr>
            <w:tcW w:w="5670"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数据接收+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eastAsia"/>
                <w:color w:val="2F5597" w:themeColor="accent5" w:themeShade="BF"/>
                <w:szCs w:val="20"/>
              </w:rPr>
              <w:t>3</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s="Calibri"/>
                <w:color w:val="2F5597" w:themeColor="accent5" w:themeShade="BF"/>
                <w:kern w:val="0"/>
                <w:szCs w:val="21"/>
              </w:rPr>
            </w:pPr>
            <w:r>
              <w:rPr>
                <w:rFonts w:hint="default" w:cs="Calibri"/>
                <w:color w:val="2F5597" w:themeColor="accent5" w:themeShade="BF"/>
                <w:kern w:val="0"/>
                <w:szCs w:val="21"/>
              </w:rPr>
              <w:t>TX-</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数据发送-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4</w:t>
            </w:r>
          </w:p>
        </w:tc>
        <w:tc>
          <w:tcPr>
            <w:tcW w:w="761" w:type="dxa"/>
          </w:tcPr>
          <w:p>
            <w:pPr>
              <w:keepNext w:val="0"/>
              <w:keepLines w:val="0"/>
              <w:suppressLineNumbers w:val="0"/>
              <w:spacing w:before="0" w:beforeAutospacing="0" w:after="0" w:afterAutospacing="0"/>
              <w:ind w:left="0" w:right="0" w:firstLine="0" w:firstLineChars="0"/>
              <w:rPr>
                <w:rFonts w:hint="default"/>
                <w:color w:val="2F5597" w:themeColor="accent5" w:themeShade="BF"/>
                <w:szCs w:val="20"/>
              </w:rPr>
            </w:pPr>
            <w:r>
              <w:rPr>
                <w:rFonts w:hint="default"/>
                <w:color w:val="2F5597" w:themeColor="accent5" w:themeShade="BF"/>
                <w:szCs w:val="20"/>
              </w:rPr>
              <w:t>4</w:t>
            </w:r>
          </w:p>
        </w:tc>
        <w:tc>
          <w:tcPr>
            <w:tcW w:w="1250" w:type="dxa"/>
            <w:gridSpan w:val="2"/>
          </w:tcPr>
          <w:p>
            <w:pPr>
              <w:keepNext w:val="0"/>
              <w:keepLines w:val="0"/>
              <w:suppressLineNumbers w:val="0"/>
              <w:spacing w:before="0" w:beforeAutospacing="0" w:after="0" w:afterAutospacing="0" w:line="360" w:lineRule="auto"/>
              <w:ind w:left="0" w:right="0" w:firstLine="0" w:firstLineChars="0"/>
              <w:rPr>
                <w:rFonts w:hint="default" w:cs="Calibri"/>
                <w:color w:val="2F5597" w:themeColor="accent5" w:themeShade="BF"/>
                <w:kern w:val="0"/>
                <w:szCs w:val="21"/>
              </w:rPr>
            </w:pPr>
            <w:r>
              <w:rPr>
                <w:rFonts w:hint="default" w:cs="Calibri"/>
                <w:color w:val="2F5597" w:themeColor="accent5" w:themeShade="BF"/>
                <w:kern w:val="0"/>
                <w:szCs w:val="21"/>
              </w:rPr>
              <w:t>RX</w:t>
            </w:r>
            <w:r>
              <w:rPr>
                <w:rFonts w:hint="eastAsia" w:cs="Calibri"/>
                <w:color w:val="2F5597" w:themeColor="accent5" w:themeShade="BF"/>
                <w:kern w:val="0"/>
                <w:szCs w:val="21"/>
              </w:rPr>
              <w:t>-</w:t>
            </w:r>
          </w:p>
        </w:tc>
        <w:tc>
          <w:tcPr>
            <w:tcW w:w="6619" w:type="dxa"/>
            <w:gridSpan w:val="4"/>
          </w:tcPr>
          <w:p>
            <w:pPr>
              <w:keepNext w:val="0"/>
              <w:keepLines w:val="0"/>
              <w:suppressLineNumbers w:val="0"/>
              <w:spacing w:before="0" w:beforeAutospacing="0" w:after="0" w:afterAutospacing="0" w:line="360" w:lineRule="auto"/>
              <w:ind w:left="0" w:right="0" w:firstLine="0" w:firstLineChars="0"/>
              <w:rPr>
                <w:rFonts w:hint="default"/>
                <w:color w:val="2F5597" w:themeColor="accent5" w:themeShade="BF"/>
                <w:szCs w:val="20"/>
              </w:rPr>
            </w:pPr>
            <w:r>
              <w:rPr>
                <w:rFonts w:hint="eastAsia"/>
                <w:color w:val="2F5597" w:themeColor="accent5" w:themeShade="BF"/>
                <w:szCs w:val="20"/>
              </w:rPr>
              <w:t>数据接收-</w:t>
            </w:r>
          </w:p>
        </w:tc>
      </w:tr>
    </w:tbl>
    <w:p>
      <w:pPr>
        <w:ind w:firstLine="480"/>
        <w:rPr>
          <w:color w:val="FF0000"/>
        </w:rPr>
      </w:pPr>
    </w:p>
    <w:p>
      <w:pPr>
        <w:widowControl/>
        <w:spacing w:line="240" w:lineRule="auto"/>
        <w:ind w:firstLine="0" w:firstLineChars="0"/>
        <w:jc w:val="left"/>
      </w:pPr>
      <w:r>
        <w:br w:type="page"/>
      </w:r>
    </w:p>
    <w:p>
      <w:pPr>
        <w:pStyle w:val="3"/>
        <w:numPr>
          <w:ilvl w:val="1"/>
          <w:numId w:val="0"/>
        </w:numPr>
        <w:tabs>
          <w:tab w:val="left" w:pos="0"/>
          <w:tab w:val="clear" w:pos="567"/>
        </w:tabs>
        <w:bidi w:val="0"/>
        <w:ind w:leftChars="0"/>
        <w:jc w:val="center"/>
      </w:pPr>
      <w:bookmarkStart w:id="79" w:name="_Toc1838"/>
      <w:r>
        <w:t xml:space="preserve">表 </w:t>
      </w:r>
      <w:r>
        <w:fldChar w:fldCharType="begin"/>
      </w:r>
      <w:r>
        <w:instrText xml:space="preserve"> SEQ 表 \* ARABIC </w:instrText>
      </w:r>
      <w:r>
        <w:fldChar w:fldCharType="separate"/>
      </w:r>
      <w:r>
        <w:t>24</w:t>
      </w:r>
      <w:r>
        <w:fldChar w:fldCharType="end"/>
      </w:r>
      <w:r>
        <w:rPr>
          <w:rFonts w:hint="eastAsia"/>
        </w:rPr>
        <w:t xml:space="preserve"> KPC18-02</w:t>
      </w:r>
      <w:r>
        <w:t>/A</w:t>
      </w:r>
      <w:r>
        <w:rPr>
          <w:rFonts w:hint="eastAsia"/>
        </w:rPr>
        <w:t>(2.02.25.03</w:t>
      </w:r>
      <w:r>
        <w:t>45</w:t>
      </w:r>
      <w:r>
        <w:rPr>
          <w:rFonts w:hint="eastAsia"/>
        </w:rPr>
        <w:t>)型控制器端子定义</w:t>
      </w:r>
      <w:bookmarkEnd w:id="79"/>
    </w:p>
    <w:p>
      <w:pPr>
        <w:ind w:firstLine="480"/>
        <w:jc w:val="left"/>
        <w:rPr>
          <w:color w:val="000000" w:themeColor="text1"/>
          <w14:textFill>
            <w14:solidFill>
              <w14:schemeClr w14:val="tx1"/>
            </w14:solidFill>
          </w14:textFill>
        </w:rPr>
      </w:pPr>
      <w:r>
        <w:rPr>
          <w:rFonts w:hint="eastAsia"/>
          <w:color w:val="000000" w:themeColor="text1"/>
          <w:highlight w:val="cyan"/>
          <w14:textFill>
            <w14:solidFill>
              <w14:schemeClr w14:val="tx1"/>
            </w14:solidFill>
          </w14:textFill>
        </w:rPr>
        <w:t>KPC</w:t>
      </w:r>
      <w:r>
        <w:rPr>
          <w:color w:val="000000" w:themeColor="text1"/>
          <w:highlight w:val="cyan"/>
          <w14:textFill>
            <w14:solidFill>
              <w14:schemeClr w14:val="tx1"/>
            </w14:solidFill>
          </w14:textFill>
        </w:rPr>
        <w:t>18-02/A</w:t>
      </w:r>
      <w:r>
        <w:rPr>
          <w:rFonts w:hint="eastAsia"/>
          <w:color w:val="000000" w:themeColor="text1"/>
          <w:highlight w:val="cyan"/>
          <w14:textFill>
            <w14:solidFill>
              <w14:schemeClr w14:val="tx1"/>
            </w14:solidFill>
          </w14:textFill>
        </w:rPr>
        <w:t>（2</w:t>
      </w:r>
      <w:r>
        <w:rPr>
          <w:color w:val="000000" w:themeColor="text1"/>
          <w:highlight w:val="cyan"/>
          <w14:textFill>
            <w14:solidFill>
              <w14:schemeClr w14:val="tx1"/>
            </w14:solidFill>
          </w14:textFill>
        </w:rPr>
        <w:t>.02.25.0345</w:t>
      </w:r>
      <w:r>
        <w:rPr>
          <w:rFonts w:hint="eastAsia"/>
          <w:color w:val="000000" w:themeColor="text1"/>
          <w:highlight w:val="cyan"/>
          <w14:textFill>
            <w14:solidFill>
              <w14:schemeClr w14:val="tx1"/>
            </w14:solidFill>
          </w14:textFill>
        </w:rPr>
        <w:t>）相较于KPC</w:t>
      </w:r>
      <w:r>
        <w:rPr>
          <w:color w:val="000000" w:themeColor="text1"/>
          <w:highlight w:val="cyan"/>
          <w14:textFill>
            <w14:solidFill>
              <w14:schemeClr w14:val="tx1"/>
            </w14:solidFill>
          </w14:textFill>
        </w:rPr>
        <w:t>18-02</w:t>
      </w:r>
      <w:r>
        <w:rPr>
          <w:rFonts w:hint="eastAsia"/>
          <w:color w:val="000000" w:themeColor="text1"/>
          <w:highlight w:val="cyan"/>
          <w14:textFill>
            <w14:solidFill>
              <w14:schemeClr w14:val="tx1"/>
            </w14:solidFill>
          </w14:textFill>
        </w:rPr>
        <w:t>（2</w:t>
      </w:r>
      <w:r>
        <w:rPr>
          <w:color w:val="000000" w:themeColor="text1"/>
          <w:highlight w:val="cyan"/>
          <w14:textFill>
            <w14:solidFill>
              <w14:schemeClr w14:val="tx1"/>
            </w14:solidFill>
          </w14:textFill>
        </w:rPr>
        <w:t>.02.25.0333</w:t>
      </w:r>
      <w:r>
        <w:rPr>
          <w:rFonts w:hint="eastAsia"/>
          <w:color w:val="000000" w:themeColor="text1"/>
          <w:highlight w:val="cyan"/>
          <w14:textFill>
            <w14:solidFill>
              <w14:schemeClr w14:val="tx1"/>
            </w14:solidFill>
          </w14:textFill>
        </w:rPr>
        <w:t>），仅XS</w:t>
      </w:r>
      <w:r>
        <w:rPr>
          <w:color w:val="000000" w:themeColor="text1"/>
          <w:highlight w:val="cyan"/>
          <w14:textFill>
            <w14:solidFill>
              <w14:schemeClr w14:val="tx1"/>
            </w14:solidFill>
          </w14:textFill>
        </w:rPr>
        <w:t>5通信端口存在差异</w:t>
      </w:r>
      <w:r>
        <w:rPr>
          <w:rFonts w:hint="eastAsia"/>
          <w:color w:val="000000" w:themeColor="text1"/>
          <w:highlight w:val="cyan"/>
          <w14:textFill>
            <w14:solidFill>
              <w14:schemeClr w14:val="tx1"/>
            </w14:solidFill>
          </w14:textFill>
        </w:rPr>
        <w:t>，</w:t>
      </w:r>
      <w:r>
        <w:rPr>
          <w:color w:val="000000" w:themeColor="text1"/>
          <w:highlight w:val="cyan"/>
          <w14:textFill>
            <w14:solidFill>
              <w14:schemeClr w14:val="tx1"/>
            </w14:solidFill>
          </w14:textFill>
        </w:rPr>
        <w:t>XS5端口信息如下</w:t>
      </w:r>
      <w:r>
        <w:rPr>
          <w:rFonts w:hint="eastAsia"/>
          <w:color w:val="000000" w:themeColor="text1"/>
          <w:highlight w:val="cyan"/>
          <w14:textFill>
            <w14:solidFill>
              <w14:schemeClr w14:val="tx1"/>
            </w14:solidFill>
          </w14:textFill>
        </w:rPr>
        <w:t>：</w:t>
      </w:r>
    </w:p>
    <w:tbl>
      <w:tblPr>
        <w:tblStyle w:val="6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FFFF"/>
        <w:tblLayout w:type="fixed"/>
        <w:tblCellMar>
          <w:top w:w="0" w:type="dxa"/>
          <w:left w:w="108" w:type="dxa"/>
          <w:bottom w:w="0" w:type="dxa"/>
          <w:right w:w="108" w:type="dxa"/>
        </w:tblCellMar>
      </w:tblPr>
      <w:tblGrid>
        <w:gridCol w:w="834"/>
        <w:gridCol w:w="850"/>
        <w:gridCol w:w="1826"/>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FFFF"/>
          <w:tblLayout w:type="fixed"/>
          <w:tblCellMar>
            <w:top w:w="0" w:type="dxa"/>
            <w:left w:w="108" w:type="dxa"/>
            <w:bottom w:w="0" w:type="dxa"/>
            <w:right w:w="108" w:type="dxa"/>
          </w:tblCellMar>
        </w:tblPrEx>
        <w:tc>
          <w:tcPr>
            <w:tcW w:w="9464" w:type="dxa"/>
            <w:gridSpan w:val="4"/>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XS5端子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A1</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PE</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第</w:t>
            </w:r>
            <w:r>
              <w:rPr>
                <w:rFonts w:hint="eastAsia"/>
                <w:color w:val="000000" w:themeColor="text1"/>
                <w:szCs w:val="20"/>
                <w14:textFill>
                  <w14:solidFill>
                    <w14:schemeClr w14:val="tx1"/>
                  </w14:solidFill>
                </w14:textFill>
              </w:rPr>
              <w:t>2路CAN屏蔽地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A2</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2CAN-GND</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第</w:t>
            </w:r>
            <w:r>
              <w:rPr>
                <w:rFonts w:hint="eastAsia"/>
                <w:color w:val="000000" w:themeColor="text1"/>
                <w:szCs w:val="20"/>
                <w14:textFill>
                  <w14:solidFill>
                    <w14:schemeClr w14:val="tx1"/>
                  </w14:solidFill>
                </w14:textFill>
              </w:rPr>
              <w:t>2路CAN通信地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A3</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1CAN-GND</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第1</w:t>
            </w:r>
            <w:r>
              <w:rPr>
                <w:rFonts w:hint="eastAsia"/>
                <w:color w:val="000000" w:themeColor="text1"/>
                <w:szCs w:val="20"/>
                <w14:textFill>
                  <w14:solidFill>
                    <w14:schemeClr w14:val="tx1"/>
                  </w14:solidFill>
                </w14:textFill>
              </w:rPr>
              <w:t>路CAN通信地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4</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A4</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PE</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第1</w:t>
            </w:r>
            <w:r>
              <w:rPr>
                <w:rFonts w:hint="eastAsia"/>
                <w:color w:val="000000" w:themeColor="text1"/>
                <w:szCs w:val="20"/>
                <w14:textFill>
                  <w14:solidFill>
                    <w14:schemeClr w14:val="tx1"/>
                  </w14:solidFill>
                </w14:textFill>
              </w:rPr>
              <w:t>路CAN屏蔽地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A5</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3RS485B</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第3组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6</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w:t>
            </w:r>
            <w:r>
              <w:rPr>
                <w:rFonts w:hint="default"/>
                <w:color w:val="000000" w:themeColor="text1"/>
                <w:szCs w:val="20"/>
                <w14:textFill>
                  <w14:solidFill>
                    <w14:schemeClr w14:val="tx1"/>
                  </w14:solidFill>
                </w14:textFill>
              </w:rPr>
              <w:t>6</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PE</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第3组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7</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w:t>
            </w:r>
            <w:r>
              <w:rPr>
                <w:rFonts w:hint="default"/>
                <w:color w:val="000000" w:themeColor="text1"/>
                <w:szCs w:val="20"/>
                <w14:textFill>
                  <w14:solidFill>
                    <w14:schemeClr w14:val="tx1"/>
                  </w14:solidFill>
                </w14:textFill>
              </w:rPr>
              <w:t>7</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2RS485B</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第2组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8</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A8</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PE</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w:t>
            </w:r>
            <w:r>
              <w:rPr>
                <w:rFonts w:hint="default"/>
                <w:color w:val="000000" w:themeColor="text1"/>
                <w:szCs w:val="20"/>
                <w14:textFill>
                  <w14:solidFill>
                    <w14:schemeClr w14:val="tx1"/>
                  </w14:solidFill>
                </w14:textFill>
              </w:rPr>
              <w:t>2</w:t>
            </w:r>
            <w:r>
              <w:rPr>
                <w:rFonts w:hint="eastAsia"/>
                <w:color w:val="000000" w:themeColor="text1"/>
                <w:szCs w:val="20"/>
                <w14:textFill>
                  <w14:solidFill>
                    <w14:schemeClr w14:val="tx1"/>
                  </w14:solidFill>
                </w14:textFill>
              </w:rPr>
              <w:t>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9</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A9</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1RS485B</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第1组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10</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A</w:t>
            </w:r>
            <w:r>
              <w:rPr>
                <w:rFonts w:hint="default"/>
                <w:color w:val="000000" w:themeColor="text1"/>
                <w:szCs w:val="20"/>
                <w14:textFill>
                  <w14:solidFill>
                    <w14:schemeClr w14:val="tx1"/>
                  </w14:solidFill>
                </w14:textFill>
              </w:rPr>
              <w:t>10</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PE</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w:t>
            </w:r>
            <w:r>
              <w:rPr>
                <w:rFonts w:hint="default"/>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屏蔽地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11</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B1</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2CAN-L</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第</w:t>
            </w:r>
            <w:r>
              <w:rPr>
                <w:rFonts w:hint="eastAsia"/>
                <w:color w:val="000000" w:themeColor="text1"/>
                <w:szCs w:val="20"/>
                <w14:textFill>
                  <w14:solidFill>
                    <w14:schemeClr w14:val="tx1"/>
                  </w14:solidFill>
                </w14:textFill>
              </w:rPr>
              <w:t>2路CAN通信</w:t>
            </w:r>
            <w:r>
              <w:rPr>
                <w:rFonts w:hint="default"/>
                <w:color w:val="000000" w:themeColor="text1"/>
                <w:szCs w:val="20"/>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12</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B2</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2CAN</w:t>
            </w:r>
            <w:r>
              <w:rPr>
                <w:rFonts w:hint="default"/>
                <w:color w:val="000000" w:themeColor="text1"/>
                <w:szCs w:val="20"/>
                <w14:textFill>
                  <w14:solidFill>
                    <w14:schemeClr w14:val="tx1"/>
                  </w14:solidFill>
                </w14:textFill>
              </w:rPr>
              <w:t>-H</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第</w:t>
            </w:r>
            <w:r>
              <w:rPr>
                <w:rFonts w:hint="eastAsia"/>
                <w:color w:val="000000" w:themeColor="text1"/>
                <w:szCs w:val="20"/>
                <w14:textFill>
                  <w14:solidFill>
                    <w14:schemeClr w14:val="tx1"/>
                  </w14:solidFill>
                </w14:textFill>
              </w:rPr>
              <w:t>2路CAN通信</w:t>
            </w:r>
            <w:r>
              <w:rPr>
                <w:rFonts w:hint="default"/>
                <w:color w:val="000000" w:themeColor="text1"/>
                <w:szCs w:val="20"/>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13</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B3</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rFonts w:hint="default"/>
                <w:color w:val="000000" w:themeColor="text1"/>
                <w:szCs w:val="20"/>
                <w14:textFill>
                  <w14:solidFill>
                    <w14:schemeClr w14:val="tx1"/>
                  </w14:solidFill>
                </w14:textFill>
              </w:rPr>
              <w:t>CAN-L</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第1</w:t>
            </w:r>
            <w:r>
              <w:rPr>
                <w:rFonts w:hint="eastAsia"/>
                <w:color w:val="000000" w:themeColor="text1"/>
                <w:szCs w:val="20"/>
                <w14:textFill>
                  <w14:solidFill>
                    <w14:schemeClr w14:val="tx1"/>
                  </w14:solidFill>
                </w14:textFill>
              </w:rPr>
              <w:t>路CAN通信</w:t>
            </w:r>
            <w:r>
              <w:rPr>
                <w:rFonts w:hint="default"/>
                <w:color w:val="000000" w:themeColor="text1"/>
                <w:szCs w:val="20"/>
                <w14:textFill>
                  <w14:solidFill>
                    <w14:schemeClr w14:val="tx1"/>
                  </w14:solidFill>
                </w14:textFill>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14</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B</w:t>
            </w:r>
            <w:r>
              <w:rPr>
                <w:rFonts w:hint="default"/>
                <w:color w:val="000000" w:themeColor="text1"/>
                <w:szCs w:val="20"/>
                <w14:textFill>
                  <w14:solidFill>
                    <w14:schemeClr w14:val="tx1"/>
                  </w14:solidFill>
                </w14:textFill>
              </w:rPr>
              <w:t>4</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rFonts w:hint="default"/>
                <w:color w:val="000000" w:themeColor="text1"/>
                <w:szCs w:val="20"/>
                <w14:textFill>
                  <w14:solidFill>
                    <w14:schemeClr w14:val="tx1"/>
                  </w14:solidFill>
                </w14:textFill>
              </w:rPr>
              <w:t>CAN-H</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default"/>
                <w:color w:val="000000" w:themeColor="text1"/>
                <w:szCs w:val="20"/>
                <w14:textFill>
                  <w14:solidFill>
                    <w14:schemeClr w14:val="tx1"/>
                  </w14:solidFill>
                </w14:textFill>
              </w:rPr>
              <w:t>第1</w:t>
            </w:r>
            <w:r>
              <w:rPr>
                <w:rFonts w:hint="eastAsia"/>
                <w:color w:val="000000" w:themeColor="text1"/>
                <w:szCs w:val="20"/>
                <w14:textFill>
                  <w14:solidFill>
                    <w14:schemeClr w14:val="tx1"/>
                  </w14:solidFill>
                </w14:textFill>
              </w:rPr>
              <w:t>路CAN通信</w:t>
            </w:r>
            <w:r>
              <w:rPr>
                <w:rFonts w:hint="default"/>
                <w:color w:val="000000" w:themeColor="text1"/>
                <w:szCs w:val="20"/>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15</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B</w:t>
            </w:r>
            <w:r>
              <w:rPr>
                <w:rFonts w:hint="default"/>
                <w:color w:val="000000" w:themeColor="text1"/>
                <w:szCs w:val="20"/>
                <w14:textFill>
                  <w14:solidFill>
                    <w14:schemeClr w14:val="tx1"/>
                  </w14:solidFill>
                </w14:textFill>
              </w:rPr>
              <w:t>5</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3RS485A</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第3组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16</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B</w:t>
            </w:r>
            <w:r>
              <w:rPr>
                <w:rFonts w:hint="default"/>
                <w:color w:val="000000" w:themeColor="text1"/>
                <w:szCs w:val="20"/>
                <w14:textFill>
                  <w14:solidFill>
                    <w14:schemeClr w14:val="tx1"/>
                  </w14:solidFill>
                </w14:textFill>
              </w:rPr>
              <w:t>6</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3RS485GND</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第3组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rFonts w:hint="default"/>
                <w:color w:val="000000" w:themeColor="text1"/>
                <w:szCs w:val="20"/>
                <w14:textFill>
                  <w14:solidFill>
                    <w14:schemeClr w14:val="tx1"/>
                  </w14:solidFill>
                </w14:textFill>
              </w:rPr>
              <w:t>7</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B</w:t>
            </w:r>
            <w:r>
              <w:rPr>
                <w:rFonts w:hint="default"/>
                <w:color w:val="000000" w:themeColor="text1"/>
                <w:szCs w:val="20"/>
                <w14:textFill>
                  <w14:solidFill>
                    <w14:schemeClr w14:val="tx1"/>
                  </w14:solidFill>
                </w14:textFill>
              </w:rPr>
              <w:t>7</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2RS485A</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第2组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rFonts w:hint="default"/>
                <w:color w:val="000000" w:themeColor="text1"/>
                <w:szCs w:val="20"/>
                <w14:textFill>
                  <w14:solidFill>
                    <w14:schemeClr w14:val="tx1"/>
                  </w14:solidFill>
                </w14:textFill>
              </w:rPr>
              <w:t>8</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B8</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2RS485GND</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第2组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w:t>
            </w:r>
            <w:r>
              <w:rPr>
                <w:rFonts w:hint="default"/>
                <w:color w:val="000000" w:themeColor="text1"/>
                <w:szCs w:val="20"/>
                <w14:textFill>
                  <w14:solidFill>
                    <w14:schemeClr w14:val="tx1"/>
                  </w14:solidFill>
                </w14:textFill>
              </w:rPr>
              <w:t>9</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B9</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1RS485A</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第1组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4" w:type="dxa"/>
            <w:shd w:val="clear" w:color="auto" w:fill="00FFFF"/>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w:t>
            </w:r>
            <w:r>
              <w:rPr>
                <w:rFonts w:hint="default"/>
                <w:color w:val="000000" w:themeColor="text1"/>
                <w:szCs w:val="20"/>
                <w14:textFill>
                  <w14:solidFill>
                    <w14:schemeClr w14:val="tx1"/>
                  </w14:solidFill>
                </w14:textFill>
              </w:rPr>
              <w:t>0</w:t>
            </w:r>
          </w:p>
        </w:tc>
        <w:tc>
          <w:tcPr>
            <w:tcW w:w="850"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B</w:t>
            </w:r>
            <w:r>
              <w:rPr>
                <w:rFonts w:hint="default"/>
                <w:color w:val="000000" w:themeColor="text1"/>
                <w:szCs w:val="20"/>
                <w14:textFill>
                  <w14:solidFill>
                    <w14:schemeClr w14:val="tx1"/>
                  </w14:solidFill>
                </w14:textFill>
              </w:rPr>
              <w:t>10</w:t>
            </w:r>
          </w:p>
        </w:tc>
        <w:tc>
          <w:tcPr>
            <w:tcW w:w="1826"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1RS485GND</w:t>
            </w:r>
          </w:p>
        </w:tc>
        <w:tc>
          <w:tcPr>
            <w:tcW w:w="5954" w:type="dxa"/>
            <w:shd w:val="clear" w:color="auto" w:fill="00FFFF"/>
            <w:vAlign w:val="center"/>
          </w:tcPr>
          <w:p>
            <w:pPr>
              <w:keepNext w:val="0"/>
              <w:keepLines w:val="0"/>
              <w:suppressLineNumbers w:val="0"/>
              <w:spacing w:before="0" w:beforeAutospacing="0" w:after="0" w:afterAutospacing="0"/>
              <w:ind w:left="0" w:right="0" w:firstLine="0" w:firstLineChars="0"/>
              <w:rPr>
                <w:rFonts w:hint="default"/>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第1组</w:t>
            </w:r>
            <w:r>
              <w:rPr>
                <w:rFonts w:hint="default"/>
                <w:color w:val="000000" w:themeColor="text1"/>
                <w:szCs w:val="20"/>
                <w14:textFill>
                  <w14:solidFill>
                    <w14:schemeClr w14:val="tx1"/>
                  </w14:solidFill>
                </w14:textFill>
              </w:rPr>
              <w:t>RS485</w:t>
            </w:r>
            <w:r>
              <w:rPr>
                <w:rFonts w:hint="eastAsia"/>
                <w:color w:val="000000" w:themeColor="text1"/>
                <w:szCs w:val="20"/>
                <w14:textFill>
                  <w14:solidFill>
                    <w14:schemeClr w14:val="tx1"/>
                  </w14:solidFill>
                </w14:textFill>
              </w:rPr>
              <w:t>通信地</w:t>
            </w:r>
          </w:p>
        </w:tc>
      </w:tr>
    </w:tbl>
    <w:p>
      <w:pPr>
        <w:ind w:firstLine="480"/>
        <w:jc w:val="left"/>
        <w:rPr>
          <w:rFonts w:hint="eastAsia"/>
          <w:highlight w:val="cyan"/>
        </w:rPr>
      </w:pPr>
      <w:r>
        <w:rPr>
          <w:rFonts w:hint="eastAsia"/>
          <w:highlight w:val="cyan"/>
        </w:rPr>
        <w:t>其他端口定义参见表1</w:t>
      </w:r>
      <w:r>
        <w:rPr>
          <w:highlight w:val="cyan"/>
        </w:rPr>
        <w:t>9</w:t>
      </w:r>
      <w:r>
        <w:rPr>
          <w:rFonts w:hint="eastAsia"/>
          <w:highlight w:val="cyan"/>
        </w:rPr>
        <w:t>。</w:t>
      </w:r>
    </w:p>
    <w:p>
      <w:pPr>
        <w:ind w:firstLine="480"/>
        <w:jc w:val="left"/>
        <w:rPr>
          <w:rFonts w:hint="eastAsia"/>
          <w:highlight w:val="cyan"/>
        </w:rPr>
      </w:pPr>
    </w:p>
    <w:p>
      <w:pPr>
        <w:ind w:firstLine="480"/>
        <w:jc w:val="left"/>
        <w:rPr>
          <w:rFonts w:hint="eastAsia"/>
          <w:highlight w:val="cyan"/>
        </w:rPr>
      </w:pPr>
    </w:p>
    <w:p>
      <w:pPr>
        <w:rPr>
          <w:rFonts w:hint="eastAsia"/>
          <w:highlight w:val="cyan"/>
        </w:rPr>
      </w:pPr>
      <w:r>
        <w:rPr>
          <w:rFonts w:hint="eastAsia"/>
          <w:highlight w:val="cyan"/>
        </w:rPr>
        <w:br w:type="page"/>
      </w:r>
    </w:p>
    <w:p>
      <w:pPr>
        <w:pStyle w:val="3"/>
        <w:numPr>
          <w:ilvl w:val="1"/>
          <w:numId w:val="0"/>
        </w:numPr>
        <w:tabs>
          <w:tab w:val="left" w:pos="0"/>
          <w:tab w:val="clear" w:pos="567"/>
        </w:tabs>
        <w:bidi w:val="0"/>
        <w:ind w:leftChars="0"/>
        <w:jc w:val="center"/>
        <w:rPr>
          <w:rFonts w:hint="default"/>
          <w:lang w:val="en-US" w:eastAsia="zh-CN"/>
        </w:rPr>
      </w:pPr>
      <w:bookmarkStart w:id="80" w:name="_Toc8549"/>
      <w:r>
        <w:rPr>
          <w:color w:val="70AD47" w:themeColor="accent6"/>
          <w14:textFill>
            <w14:solidFill>
              <w14:schemeClr w14:val="accent6"/>
            </w14:solidFill>
          </w14:textFill>
        </w:rPr>
        <w:t xml:space="preserve">表 </w:t>
      </w:r>
      <w:r>
        <w:rPr>
          <w:color w:val="70AD47" w:themeColor="accent6"/>
          <w14:textFill>
            <w14:solidFill>
              <w14:schemeClr w14:val="accent6"/>
            </w14:solidFill>
          </w14:textFill>
        </w:rPr>
        <w:fldChar w:fldCharType="begin"/>
      </w:r>
      <w:r>
        <w:rPr>
          <w:color w:val="70AD47" w:themeColor="accent6"/>
          <w14:textFill>
            <w14:solidFill>
              <w14:schemeClr w14:val="accent6"/>
            </w14:solidFill>
          </w14:textFill>
        </w:rPr>
        <w:instrText xml:space="preserve"> SEQ 表 \* ARABIC </w:instrText>
      </w:r>
      <w:r>
        <w:rPr>
          <w:color w:val="70AD47" w:themeColor="accent6"/>
          <w14:textFill>
            <w14:solidFill>
              <w14:schemeClr w14:val="accent6"/>
            </w14:solidFill>
          </w14:textFill>
        </w:rPr>
        <w:fldChar w:fldCharType="separate"/>
      </w:r>
      <w:r>
        <w:rPr>
          <w:color w:val="70AD47" w:themeColor="accent6"/>
          <w14:textFill>
            <w14:solidFill>
              <w14:schemeClr w14:val="accent6"/>
            </w14:solidFill>
          </w14:textFill>
        </w:rPr>
        <w:t>25</w:t>
      </w:r>
      <w:r>
        <w:rPr>
          <w:color w:val="70AD47" w:themeColor="accent6"/>
          <w14:textFill>
            <w14:solidFill>
              <w14:schemeClr w14:val="accent6"/>
            </w14:solidFill>
          </w14:textFill>
        </w:rPr>
        <w:fldChar w:fldCharType="end"/>
      </w:r>
      <w:r>
        <w:rPr>
          <w:rFonts w:hint="eastAsia"/>
          <w:color w:val="70AD47" w:themeColor="accent6"/>
          <w:lang w:val="en-US" w:eastAsia="zh-CN"/>
          <w14:textFill>
            <w14:solidFill>
              <w14:schemeClr w14:val="accent6"/>
            </w14:solidFill>
          </w14:textFill>
        </w:rPr>
        <w:t xml:space="preserve"> KPC18-02/B(2.02.25.0441)型控制器端子定义</w:t>
      </w:r>
      <w:bookmarkEnd w:id="80"/>
    </w:p>
    <w:tbl>
      <w:tblPr>
        <w:tblStyle w:val="60"/>
        <w:tblW w:w="9382" w:type="dxa"/>
        <w:tblInd w:w="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906"/>
        <w:gridCol w:w="1011"/>
        <w:gridCol w:w="1536"/>
        <w:gridCol w:w="59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SD_OUT_32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固态输出OUT，DC24V/1A，隔离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SD_OUT_30</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固态输出OUT，DC24V/1A，隔离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SD_OUT_28</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固态输出OUT，DC24V/1A，隔离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COM_GND6</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lang w:val="en-US" w:eastAsia="zh-CN"/>
              </w:rPr>
            </w:pPr>
            <w:r>
              <w:rPr>
                <w:rFonts w:hint="eastAsia" w:ascii="宋体" w:hAnsi="宋体" w:eastAsia="宋体" w:cs="宋体"/>
                <w:i w:val="0"/>
                <w:iCs w:val="0"/>
                <w:color w:val="F79646"/>
                <w:kern w:val="0"/>
                <w:sz w:val="21"/>
                <w:szCs w:val="21"/>
                <w:u w:val="none"/>
                <w:lang w:val="en-US" w:eastAsia="zh-CN" w:bidi="ar"/>
              </w:rPr>
              <w:t>固态电源</w:t>
            </w:r>
            <w:r>
              <w:rPr>
                <w:rFonts w:hint="eastAsia" w:ascii="宋体" w:hAnsi="宋体" w:cs="宋体"/>
                <w:i w:val="0"/>
                <w:iCs w:val="0"/>
                <w:color w:val="F79646"/>
                <w:kern w:val="0"/>
                <w:sz w:val="21"/>
                <w:szCs w:val="21"/>
                <w:u w:val="none"/>
                <w:lang w:val="en-US" w:eastAsia="zh-CN" w:bidi="ar"/>
              </w:rPr>
              <w:t>SD_OUT_27~SD_OUT_32公共端负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DO_OUT22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COM_GND7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default" w:ascii="宋体" w:hAnsi="宋体" w:cs="宋体"/>
                <w:i w:val="0"/>
                <w:iCs w:val="0"/>
                <w:color w:val="F79646"/>
                <w:kern w:val="0"/>
                <w:sz w:val="21"/>
                <w:szCs w:val="21"/>
                <w:u w:val="none"/>
                <w:lang w:val="en-US" w:eastAsia="zh-CN" w:bidi="ar"/>
              </w:rPr>
            </w:pPr>
            <w:r>
              <w:rPr>
                <w:rFonts w:hint="eastAsia" w:ascii="宋体" w:hAnsi="宋体" w:cs="宋体"/>
                <w:i w:val="0"/>
                <w:iCs w:val="0"/>
                <w:color w:val="F79646"/>
                <w:kern w:val="0"/>
                <w:sz w:val="21"/>
                <w:szCs w:val="21"/>
                <w:u w:val="none"/>
                <w:lang w:val="en-US" w:eastAsia="zh-CN" w:bidi="ar"/>
              </w:rPr>
              <w:t>DO21和DO22公共端负，DC110V或DC24V-，续流二极管公共端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SD_OUT_31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固态输出OUT，DC24V/1A，隔离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SD_OUT_29</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固态输出OUT，DC24V/1A，隔离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SD_OUT_27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固态输出OUT，DC24V/1A，隔离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COM_VCC6</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固态电源</w:t>
            </w:r>
            <w:r>
              <w:rPr>
                <w:rFonts w:hint="eastAsia" w:ascii="宋体" w:hAnsi="宋体" w:cs="宋体"/>
                <w:i w:val="0"/>
                <w:iCs w:val="0"/>
                <w:color w:val="F79646"/>
                <w:kern w:val="0"/>
                <w:sz w:val="21"/>
                <w:szCs w:val="21"/>
                <w:u w:val="none"/>
                <w:lang w:val="en-US" w:eastAsia="zh-CN" w:bidi="ar"/>
              </w:rPr>
              <w:t>SD_OUT_27~SD_OUT_32公共端正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DO_OUT21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COM_VCC7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DO21和DO22公共端正，DC110V或DC24V-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RLY_OUT_25B</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default" w:ascii="宋体" w:hAnsi="宋体" w:eastAsia="宋体" w:cs="宋体"/>
                <w:i w:val="0"/>
                <w:iCs w:val="0"/>
                <w:color w:val="F79646"/>
                <w:sz w:val="21"/>
                <w:szCs w:val="21"/>
                <w:u w:val="none"/>
                <w:lang w:val="en-US"/>
              </w:rPr>
            </w:pPr>
            <w:r>
              <w:rPr>
                <w:rFonts w:hint="eastAsia" w:ascii="宋体" w:hAnsi="宋体" w:eastAsia="宋体" w:cs="宋体"/>
                <w:i w:val="0"/>
                <w:iCs w:val="0"/>
                <w:color w:val="F79646"/>
                <w:kern w:val="0"/>
                <w:sz w:val="21"/>
                <w:szCs w:val="21"/>
                <w:u w:val="none"/>
                <w:lang w:val="en-US" w:eastAsia="zh-CN" w:bidi="ar"/>
              </w:rPr>
              <w:t>双路输出</w:t>
            </w:r>
            <w:r>
              <w:rPr>
                <w:rFonts w:hint="eastAsia" w:ascii="宋体" w:hAnsi="宋体" w:cs="宋体"/>
                <w:i w:val="0"/>
                <w:iCs w:val="0"/>
                <w:color w:val="F79646"/>
                <w:kern w:val="0"/>
                <w:sz w:val="21"/>
                <w:szCs w:val="21"/>
                <w:u w:val="none"/>
                <w:lang w:val="en-US" w:eastAsia="zh-CN" w:bidi="ar"/>
              </w:rPr>
              <w:t>25</w:t>
            </w:r>
            <w:r>
              <w:rPr>
                <w:rFonts w:hint="eastAsia" w:ascii="宋体" w:hAnsi="宋体" w:eastAsia="宋体" w:cs="宋体"/>
                <w:i w:val="0"/>
                <w:iCs w:val="0"/>
                <w:color w:val="F79646"/>
                <w:kern w:val="0"/>
                <w:sz w:val="21"/>
                <w:szCs w:val="21"/>
                <w:u w:val="none"/>
                <w:lang w:val="en-US" w:eastAsia="zh-CN" w:bidi="ar"/>
              </w:rPr>
              <w:t>B</w:t>
            </w:r>
            <w:r>
              <w:rPr>
                <w:rFonts w:hint="eastAsia" w:ascii="宋体" w:hAnsi="宋体" w:cs="宋体"/>
                <w:i w:val="0"/>
                <w:iCs w:val="0"/>
                <w:color w:val="F79646"/>
                <w:kern w:val="0"/>
                <w:sz w:val="21"/>
                <w:szCs w:val="21"/>
                <w:u w:val="none"/>
                <w:lang w:val="en-US" w:eastAsia="zh-CN" w:bidi="ar"/>
              </w:rPr>
              <w:t>，DC110V或DC24V兼容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RLY_OUT_24B</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双路输出</w:t>
            </w:r>
            <w:r>
              <w:rPr>
                <w:rFonts w:hint="eastAsia" w:ascii="宋体" w:hAnsi="宋体" w:cs="宋体"/>
                <w:i w:val="0"/>
                <w:iCs w:val="0"/>
                <w:color w:val="F79646"/>
                <w:kern w:val="0"/>
                <w:sz w:val="21"/>
                <w:szCs w:val="21"/>
                <w:u w:val="none"/>
                <w:lang w:val="en-US" w:eastAsia="zh-CN" w:bidi="ar"/>
              </w:rPr>
              <w:t>24</w:t>
            </w:r>
            <w:r>
              <w:rPr>
                <w:rFonts w:hint="eastAsia" w:ascii="宋体" w:hAnsi="宋体" w:eastAsia="宋体" w:cs="宋体"/>
                <w:i w:val="0"/>
                <w:iCs w:val="0"/>
                <w:color w:val="F79646"/>
                <w:kern w:val="0"/>
                <w:sz w:val="21"/>
                <w:szCs w:val="21"/>
                <w:u w:val="none"/>
                <w:lang w:val="en-US" w:eastAsia="zh-CN" w:bidi="ar"/>
              </w:rPr>
              <w:t>B</w:t>
            </w:r>
            <w:r>
              <w:rPr>
                <w:rFonts w:hint="eastAsia" w:ascii="宋体" w:hAnsi="宋体" w:cs="宋体"/>
                <w:i w:val="0"/>
                <w:iCs w:val="0"/>
                <w:color w:val="F79646"/>
                <w:kern w:val="0"/>
                <w:sz w:val="21"/>
                <w:szCs w:val="21"/>
                <w:u w:val="none"/>
                <w:lang w:val="en-US" w:eastAsia="zh-CN" w:bidi="ar"/>
              </w:rPr>
              <w:t>，DC110V或DC24V兼容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RLY_OUT_23B</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双路输出</w:t>
            </w:r>
            <w:r>
              <w:rPr>
                <w:rFonts w:hint="eastAsia" w:ascii="宋体" w:hAnsi="宋体" w:cs="宋体"/>
                <w:i w:val="0"/>
                <w:iCs w:val="0"/>
                <w:color w:val="F79646"/>
                <w:kern w:val="0"/>
                <w:sz w:val="21"/>
                <w:szCs w:val="21"/>
                <w:u w:val="none"/>
                <w:lang w:val="en-US" w:eastAsia="zh-CN" w:bidi="ar"/>
              </w:rPr>
              <w:t>23</w:t>
            </w:r>
            <w:r>
              <w:rPr>
                <w:rFonts w:hint="eastAsia" w:ascii="宋体" w:hAnsi="宋体" w:eastAsia="宋体" w:cs="宋体"/>
                <w:i w:val="0"/>
                <w:iCs w:val="0"/>
                <w:color w:val="F79646"/>
                <w:kern w:val="0"/>
                <w:sz w:val="21"/>
                <w:szCs w:val="21"/>
                <w:u w:val="none"/>
                <w:lang w:val="en-US" w:eastAsia="zh-CN" w:bidi="ar"/>
              </w:rPr>
              <w:t>B</w:t>
            </w:r>
            <w:r>
              <w:rPr>
                <w:rFonts w:hint="eastAsia" w:ascii="宋体" w:hAnsi="宋体" w:cs="宋体"/>
                <w:i w:val="0"/>
                <w:iCs w:val="0"/>
                <w:color w:val="F79646"/>
                <w:kern w:val="0"/>
                <w:sz w:val="21"/>
                <w:szCs w:val="21"/>
                <w:u w:val="none"/>
                <w:lang w:val="en-US" w:eastAsia="zh-CN" w:bidi="ar"/>
              </w:rPr>
              <w:t>，DC110V或DC24V兼容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RLY_OUT_26B</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双路输出</w:t>
            </w:r>
            <w:r>
              <w:rPr>
                <w:rFonts w:hint="eastAsia" w:ascii="宋体" w:hAnsi="宋体" w:cs="宋体"/>
                <w:i w:val="0"/>
                <w:iCs w:val="0"/>
                <w:color w:val="F79646"/>
                <w:kern w:val="0"/>
                <w:sz w:val="21"/>
                <w:szCs w:val="21"/>
                <w:u w:val="none"/>
                <w:lang w:val="en-US" w:eastAsia="zh-CN" w:bidi="ar"/>
              </w:rPr>
              <w:t>26</w:t>
            </w:r>
            <w:r>
              <w:rPr>
                <w:rFonts w:hint="eastAsia" w:ascii="宋体" w:hAnsi="宋体" w:eastAsia="宋体" w:cs="宋体"/>
                <w:i w:val="0"/>
                <w:iCs w:val="0"/>
                <w:color w:val="F79646"/>
                <w:kern w:val="0"/>
                <w:sz w:val="21"/>
                <w:szCs w:val="21"/>
                <w:u w:val="none"/>
                <w:lang w:val="en-US" w:eastAsia="zh-CN" w:bidi="ar"/>
              </w:rPr>
              <w:t>B</w:t>
            </w:r>
            <w:r>
              <w:rPr>
                <w:rFonts w:hint="eastAsia" w:ascii="宋体" w:hAnsi="宋体" w:cs="宋体"/>
                <w:i w:val="0"/>
                <w:iCs w:val="0"/>
                <w:color w:val="F79646"/>
                <w:kern w:val="0"/>
                <w:sz w:val="21"/>
                <w:szCs w:val="21"/>
                <w:u w:val="none"/>
                <w:lang w:val="en-US" w:eastAsia="zh-CN" w:bidi="ar"/>
              </w:rPr>
              <w:t>，DC110V或DC24V兼容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DO_OUT20</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DO_OUT18</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COM_GND5</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DO17~DO20公共端负，DC110V或DC24V-，续流二极管公共端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DO_OUT16</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A9</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A10</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COM_GND4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DO13~DO16公共端负，DC110V或DC24V-，续流二极管公共端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RLY_OUT_25A</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双路输出</w:t>
            </w:r>
            <w:r>
              <w:rPr>
                <w:rFonts w:hint="eastAsia" w:ascii="宋体" w:hAnsi="宋体" w:cs="宋体"/>
                <w:i w:val="0"/>
                <w:iCs w:val="0"/>
                <w:color w:val="F79646"/>
                <w:kern w:val="0"/>
                <w:sz w:val="21"/>
                <w:szCs w:val="21"/>
                <w:u w:val="none"/>
                <w:lang w:val="en-US" w:eastAsia="zh-CN" w:bidi="ar"/>
              </w:rPr>
              <w:t>25</w:t>
            </w:r>
            <w:r>
              <w:rPr>
                <w:rFonts w:hint="eastAsia" w:ascii="宋体" w:hAnsi="宋体" w:eastAsia="宋体" w:cs="宋体"/>
                <w:i w:val="0"/>
                <w:iCs w:val="0"/>
                <w:color w:val="F79646"/>
                <w:kern w:val="0"/>
                <w:sz w:val="21"/>
                <w:szCs w:val="21"/>
                <w:u w:val="none"/>
                <w:lang w:val="en-US" w:eastAsia="zh-CN" w:bidi="ar"/>
              </w:rPr>
              <w:t>A</w:t>
            </w:r>
            <w:r>
              <w:rPr>
                <w:rFonts w:hint="eastAsia" w:ascii="宋体" w:hAnsi="宋体" w:cs="宋体"/>
                <w:i w:val="0"/>
                <w:iCs w:val="0"/>
                <w:color w:val="F79646"/>
                <w:kern w:val="0"/>
                <w:sz w:val="21"/>
                <w:szCs w:val="21"/>
                <w:u w:val="none"/>
                <w:lang w:val="en-US" w:eastAsia="zh-CN" w:bidi="ar"/>
              </w:rPr>
              <w:t>，DC110V或DC24V兼容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RLY_OUT_24A</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双路输出</w:t>
            </w:r>
            <w:r>
              <w:rPr>
                <w:rFonts w:hint="eastAsia" w:ascii="宋体" w:hAnsi="宋体" w:cs="宋体"/>
                <w:i w:val="0"/>
                <w:iCs w:val="0"/>
                <w:color w:val="F79646"/>
                <w:kern w:val="0"/>
                <w:sz w:val="21"/>
                <w:szCs w:val="21"/>
                <w:u w:val="none"/>
                <w:lang w:val="en-US" w:eastAsia="zh-CN" w:bidi="ar"/>
              </w:rPr>
              <w:t>24</w:t>
            </w:r>
            <w:r>
              <w:rPr>
                <w:rFonts w:hint="eastAsia" w:ascii="宋体" w:hAnsi="宋体" w:eastAsia="宋体" w:cs="宋体"/>
                <w:i w:val="0"/>
                <w:iCs w:val="0"/>
                <w:color w:val="F79646"/>
                <w:kern w:val="0"/>
                <w:sz w:val="21"/>
                <w:szCs w:val="21"/>
                <w:u w:val="none"/>
                <w:lang w:val="en-US" w:eastAsia="zh-CN" w:bidi="ar"/>
              </w:rPr>
              <w:t>A</w:t>
            </w:r>
            <w:r>
              <w:rPr>
                <w:rFonts w:hint="eastAsia" w:ascii="宋体" w:hAnsi="宋体" w:cs="宋体"/>
                <w:i w:val="0"/>
                <w:iCs w:val="0"/>
                <w:color w:val="F79646"/>
                <w:kern w:val="0"/>
                <w:sz w:val="21"/>
                <w:szCs w:val="21"/>
                <w:u w:val="none"/>
                <w:lang w:val="en-US" w:eastAsia="zh-CN" w:bidi="ar"/>
              </w:rPr>
              <w:t>，DC110V或DC24V兼容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RLY_OUT_23A</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双路输出</w:t>
            </w:r>
            <w:r>
              <w:rPr>
                <w:rFonts w:hint="eastAsia" w:ascii="宋体" w:hAnsi="宋体" w:cs="宋体"/>
                <w:i w:val="0"/>
                <w:iCs w:val="0"/>
                <w:color w:val="F79646"/>
                <w:kern w:val="0"/>
                <w:sz w:val="21"/>
                <w:szCs w:val="21"/>
                <w:u w:val="none"/>
                <w:lang w:val="en-US" w:eastAsia="zh-CN" w:bidi="ar"/>
              </w:rPr>
              <w:t>23</w:t>
            </w:r>
            <w:r>
              <w:rPr>
                <w:rFonts w:hint="eastAsia" w:ascii="宋体" w:hAnsi="宋体" w:eastAsia="宋体" w:cs="宋体"/>
                <w:i w:val="0"/>
                <w:iCs w:val="0"/>
                <w:color w:val="F79646"/>
                <w:kern w:val="0"/>
                <w:sz w:val="21"/>
                <w:szCs w:val="21"/>
                <w:u w:val="none"/>
                <w:lang w:val="en-US" w:eastAsia="zh-CN" w:bidi="ar"/>
              </w:rPr>
              <w:t>A</w:t>
            </w:r>
            <w:r>
              <w:rPr>
                <w:rFonts w:hint="eastAsia" w:ascii="宋体" w:hAnsi="宋体" w:cs="宋体"/>
                <w:i w:val="0"/>
                <w:iCs w:val="0"/>
                <w:color w:val="F79646"/>
                <w:kern w:val="0"/>
                <w:sz w:val="21"/>
                <w:szCs w:val="21"/>
                <w:u w:val="none"/>
                <w:lang w:val="en-US" w:eastAsia="zh-CN" w:bidi="ar"/>
              </w:rPr>
              <w:t>，DC110V或DC24V兼容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RLY_OUT_26A</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双路输出</w:t>
            </w:r>
            <w:r>
              <w:rPr>
                <w:rFonts w:hint="eastAsia" w:ascii="宋体" w:hAnsi="宋体" w:cs="宋体"/>
                <w:i w:val="0"/>
                <w:iCs w:val="0"/>
                <w:color w:val="F79646"/>
                <w:kern w:val="0"/>
                <w:sz w:val="21"/>
                <w:szCs w:val="21"/>
                <w:u w:val="none"/>
                <w:lang w:val="en-US" w:eastAsia="zh-CN" w:bidi="ar"/>
              </w:rPr>
              <w:t>26</w:t>
            </w:r>
            <w:r>
              <w:rPr>
                <w:rFonts w:hint="eastAsia" w:ascii="宋体" w:hAnsi="宋体" w:eastAsia="宋体" w:cs="宋体"/>
                <w:i w:val="0"/>
                <w:iCs w:val="0"/>
                <w:color w:val="F79646"/>
                <w:kern w:val="0"/>
                <w:sz w:val="21"/>
                <w:szCs w:val="21"/>
                <w:u w:val="none"/>
                <w:lang w:val="en-US" w:eastAsia="zh-CN" w:bidi="ar"/>
              </w:rPr>
              <w:t>A</w:t>
            </w:r>
            <w:r>
              <w:rPr>
                <w:rFonts w:hint="eastAsia" w:ascii="宋体" w:hAnsi="宋体" w:cs="宋体"/>
                <w:i w:val="0"/>
                <w:iCs w:val="0"/>
                <w:color w:val="F79646"/>
                <w:kern w:val="0"/>
                <w:sz w:val="21"/>
                <w:szCs w:val="21"/>
                <w:u w:val="none"/>
                <w:lang w:val="en-US" w:eastAsia="zh-CN" w:bidi="ar"/>
              </w:rPr>
              <w:t>，DC110V或DC24V兼容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DO_OUT19</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COM_VCC5</w:t>
            </w:r>
          </w:p>
        </w:tc>
        <w:tc>
          <w:tcPr>
            <w:tcW w:w="5929" w:type="dxa"/>
            <w:tcBorders>
              <w:tl2br w:val="nil"/>
              <w:tr2bl w:val="nil"/>
            </w:tcBorders>
            <w:shd w:val="clear" w:color="auto" w:fill="auto"/>
            <w:vAlign w:val="top"/>
          </w:tcPr>
          <w:p>
            <w:pPr>
              <w:keepNext w:val="0"/>
              <w:keepLines w:val="0"/>
              <w:pageBreakBefore w:val="0"/>
              <w:widowControl/>
              <w:suppressLineNumbers w:val="0"/>
              <w:tabs>
                <w:tab w:val="left" w:pos="1838"/>
              </w:tabs>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DO17~DO20公共端正，DC110V或DC24V-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DO_OUT15</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B9</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B10</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COM_VCC4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DO13~DO16公共端正，DC110V或DC24V-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DO_OUT10</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COM_GND3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DO9~DO12公共端负，DC110V或DC24V-，续流二极管公共端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DO_OUT8</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DO_OUT6</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COM_GND2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DO5~DO8公共端负，DC110V或DC24V-，续流二极管公共端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A9</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COM_GND1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DO1~DO4公共端负，DC110V或DC24V-，续流二极管公共端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DO_OUT9</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COM_VCC3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DO9~DO12公共端正，DC110V或DC24V-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DO_OUT5</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COM_VCC2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DO5~DO8公共端正，DC110V或DC24V-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DO_OUT1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输出OUT</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兼容DC24V(1A)和DC110V(0.2A)，隔离，共正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B9</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COM_VCC1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DO1~DO4公共端正，DC110V或DC24V-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NC</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GN_NTC3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NTC温度传感器3接线2，模拟地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adc_ntc_a3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NTC温度传感器3接线</w:t>
            </w:r>
            <w:r>
              <w:rPr>
                <w:rFonts w:hint="eastAsia" w:ascii="宋体" w:hAnsi="宋体" w:cs="宋体"/>
                <w:i w:val="0"/>
                <w:iCs w:val="0"/>
                <w:color w:val="F79646"/>
                <w:kern w:val="0"/>
                <w:sz w:val="21"/>
                <w:szCs w:val="21"/>
                <w:u w:val="none"/>
                <w:lang w:val="en-US" w:eastAsia="zh-CN" w:bidi="ar"/>
              </w:rPr>
              <w:t>1</w:t>
            </w:r>
            <w:r>
              <w:rPr>
                <w:rFonts w:hint="eastAsia" w:ascii="宋体" w:hAnsi="宋体" w:eastAsia="宋体" w:cs="宋体"/>
                <w:i w:val="0"/>
                <w:iCs w:val="0"/>
                <w:color w:val="F79646"/>
                <w:kern w:val="0"/>
                <w:sz w:val="21"/>
                <w:szCs w:val="21"/>
                <w:u w:val="none"/>
                <w:lang w:val="en-US" w:eastAsia="zh-CN" w:bidi="ar"/>
              </w:rPr>
              <w:t>，</w:t>
            </w:r>
            <w:r>
              <w:rPr>
                <w:rFonts w:hint="eastAsia" w:ascii="宋体" w:hAnsi="宋体" w:cs="宋体"/>
                <w:i w:val="0"/>
                <w:iCs w:val="0"/>
                <w:color w:val="F79646"/>
                <w:kern w:val="0"/>
                <w:sz w:val="21"/>
                <w:szCs w:val="21"/>
                <w:u w:val="none"/>
                <w:lang w:val="en-US" w:eastAsia="zh-CN" w:bidi="ar"/>
              </w:rPr>
              <w:t>信号输入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GN_NTC1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NTC温度传感器</w:t>
            </w:r>
            <w:r>
              <w:rPr>
                <w:rFonts w:hint="eastAsia" w:ascii="宋体" w:hAnsi="宋体" w:cs="宋体"/>
                <w:i w:val="0"/>
                <w:iCs w:val="0"/>
                <w:color w:val="F79646"/>
                <w:kern w:val="0"/>
                <w:sz w:val="21"/>
                <w:szCs w:val="21"/>
                <w:u w:val="none"/>
                <w:lang w:val="en-US" w:eastAsia="zh-CN" w:bidi="ar"/>
              </w:rPr>
              <w:t>1</w:t>
            </w:r>
            <w:r>
              <w:rPr>
                <w:rFonts w:hint="eastAsia" w:ascii="宋体" w:hAnsi="宋体" w:eastAsia="宋体" w:cs="宋体"/>
                <w:i w:val="0"/>
                <w:iCs w:val="0"/>
                <w:color w:val="F79646"/>
                <w:kern w:val="0"/>
                <w:sz w:val="21"/>
                <w:szCs w:val="21"/>
                <w:u w:val="none"/>
                <w:lang w:val="en-US" w:eastAsia="zh-CN" w:bidi="ar"/>
              </w:rPr>
              <w:t>接线2，模拟地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adc_ntc_a1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NTC温度传感器</w:t>
            </w:r>
            <w:r>
              <w:rPr>
                <w:rFonts w:hint="eastAsia" w:ascii="宋体" w:hAnsi="宋体" w:cs="宋体"/>
                <w:i w:val="0"/>
                <w:iCs w:val="0"/>
                <w:color w:val="F79646"/>
                <w:kern w:val="0"/>
                <w:sz w:val="21"/>
                <w:szCs w:val="21"/>
                <w:u w:val="none"/>
                <w:lang w:val="en-US" w:eastAsia="zh-CN" w:bidi="ar"/>
              </w:rPr>
              <w:t>1</w:t>
            </w:r>
            <w:r>
              <w:rPr>
                <w:rFonts w:hint="eastAsia" w:ascii="宋体" w:hAnsi="宋体" w:eastAsia="宋体" w:cs="宋体"/>
                <w:i w:val="0"/>
                <w:iCs w:val="0"/>
                <w:color w:val="F79646"/>
                <w:kern w:val="0"/>
                <w:sz w:val="21"/>
                <w:szCs w:val="21"/>
                <w:u w:val="none"/>
                <w:lang w:val="en-US" w:eastAsia="zh-CN" w:bidi="ar"/>
              </w:rPr>
              <w:t>接线</w:t>
            </w:r>
            <w:r>
              <w:rPr>
                <w:rFonts w:hint="eastAsia" w:ascii="宋体" w:hAnsi="宋体" w:cs="宋体"/>
                <w:i w:val="0"/>
                <w:iCs w:val="0"/>
                <w:color w:val="F79646"/>
                <w:kern w:val="0"/>
                <w:sz w:val="21"/>
                <w:szCs w:val="21"/>
                <w:u w:val="none"/>
                <w:lang w:val="en-US" w:eastAsia="zh-CN" w:bidi="ar"/>
              </w:rPr>
              <w:t>1</w:t>
            </w:r>
            <w:r>
              <w:rPr>
                <w:rFonts w:hint="eastAsia" w:ascii="宋体" w:hAnsi="宋体" w:eastAsia="宋体" w:cs="宋体"/>
                <w:i w:val="0"/>
                <w:iCs w:val="0"/>
                <w:color w:val="F79646"/>
                <w:kern w:val="0"/>
                <w:sz w:val="21"/>
                <w:szCs w:val="21"/>
                <w:u w:val="none"/>
                <w:lang w:val="en-US" w:eastAsia="zh-CN" w:bidi="ar"/>
              </w:rPr>
              <w:t>，</w:t>
            </w:r>
            <w:r>
              <w:rPr>
                <w:rFonts w:hint="eastAsia" w:ascii="宋体" w:hAnsi="宋体" w:cs="宋体"/>
                <w:i w:val="0"/>
                <w:iCs w:val="0"/>
                <w:color w:val="F79646"/>
                <w:kern w:val="0"/>
                <w:sz w:val="21"/>
                <w:szCs w:val="21"/>
                <w:u w:val="none"/>
                <w:lang w:val="en-US" w:eastAsia="zh-CN" w:bidi="ar"/>
              </w:rPr>
              <w:t>信号输入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NC</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GN_NTC4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NTC温度传感器</w:t>
            </w:r>
            <w:r>
              <w:rPr>
                <w:rFonts w:hint="eastAsia" w:ascii="宋体" w:hAnsi="宋体" w:cs="宋体"/>
                <w:i w:val="0"/>
                <w:iCs w:val="0"/>
                <w:color w:val="F79646"/>
                <w:kern w:val="0"/>
                <w:sz w:val="21"/>
                <w:szCs w:val="21"/>
                <w:u w:val="none"/>
                <w:lang w:val="en-US" w:eastAsia="zh-CN" w:bidi="ar"/>
              </w:rPr>
              <w:t>4</w:t>
            </w:r>
            <w:r>
              <w:rPr>
                <w:rFonts w:hint="eastAsia" w:ascii="宋体" w:hAnsi="宋体" w:eastAsia="宋体" w:cs="宋体"/>
                <w:i w:val="0"/>
                <w:iCs w:val="0"/>
                <w:color w:val="F79646"/>
                <w:kern w:val="0"/>
                <w:sz w:val="21"/>
                <w:szCs w:val="21"/>
                <w:u w:val="none"/>
                <w:lang w:val="en-US" w:eastAsia="zh-CN" w:bidi="ar"/>
              </w:rPr>
              <w:t>接线2，模拟地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adc_ntc_a4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NTC温度传感器</w:t>
            </w:r>
            <w:r>
              <w:rPr>
                <w:rFonts w:hint="eastAsia" w:ascii="宋体" w:hAnsi="宋体" w:cs="宋体"/>
                <w:i w:val="0"/>
                <w:iCs w:val="0"/>
                <w:color w:val="F79646"/>
                <w:kern w:val="0"/>
                <w:sz w:val="21"/>
                <w:szCs w:val="21"/>
                <w:u w:val="none"/>
                <w:lang w:val="en-US" w:eastAsia="zh-CN" w:bidi="ar"/>
              </w:rPr>
              <w:t>4</w:t>
            </w:r>
            <w:r>
              <w:rPr>
                <w:rFonts w:hint="eastAsia" w:ascii="宋体" w:hAnsi="宋体" w:eastAsia="宋体" w:cs="宋体"/>
                <w:i w:val="0"/>
                <w:iCs w:val="0"/>
                <w:color w:val="F79646"/>
                <w:kern w:val="0"/>
                <w:sz w:val="21"/>
                <w:szCs w:val="21"/>
                <w:u w:val="none"/>
                <w:lang w:val="en-US" w:eastAsia="zh-CN" w:bidi="ar"/>
              </w:rPr>
              <w:t>接线</w:t>
            </w:r>
            <w:r>
              <w:rPr>
                <w:rFonts w:hint="eastAsia" w:ascii="宋体" w:hAnsi="宋体" w:cs="宋体"/>
                <w:i w:val="0"/>
                <w:iCs w:val="0"/>
                <w:color w:val="F79646"/>
                <w:kern w:val="0"/>
                <w:sz w:val="21"/>
                <w:szCs w:val="21"/>
                <w:u w:val="none"/>
                <w:lang w:val="en-US" w:eastAsia="zh-CN" w:bidi="ar"/>
              </w:rPr>
              <w:t>1</w:t>
            </w:r>
            <w:r>
              <w:rPr>
                <w:rFonts w:hint="eastAsia" w:ascii="宋体" w:hAnsi="宋体" w:eastAsia="宋体" w:cs="宋体"/>
                <w:i w:val="0"/>
                <w:iCs w:val="0"/>
                <w:color w:val="F79646"/>
                <w:kern w:val="0"/>
                <w:sz w:val="21"/>
                <w:szCs w:val="21"/>
                <w:u w:val="none"/>
                <w:lang w:val="en-US" w:eastAsia="zh-CN" w:bidi="ar"/>
              </w:rPr>
              <w:t>，</w:t>
            </w:r>
            <w:r>
              <w:rPr>
                <w:rFonts w:hint="eastAsia" w:ascii="宋体" w:hAnsi="宋体" w:cs="宋体"/>
                <w:i w:val="0"/>
                <w:iCs w:val="0"/>
                <w:color w:val="F79646"/>
                <w:kern w:val="0"/>
                <w:sz w:val="21"/>
                <w:szCs w:val="21"/>
                <w:u w:val="none"/>
                <w:lang w:val="en-US" w:eastAsia="zh-CN" w:bidi="ar"/>
              </w:rPr>
              <w:t>信号输入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GN_NTC2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b/>
                <w:bCs/>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NTC温度传感器</w:t>
            </w:r>
            <w:r>
              <w:rPr>
                <w:rFonts w:hint="eastAsia" w:ascii="宋体" w:hAnsi="宋体" w:cs="宋体"/>
                <w:i w:val="0"/>
                <w:iCs w:val="0"/>
                <w:color w:val="F79646"/>
                <w:kern w:val="0"/>
                <w:sz w:val="21"/>
                <w:szCs w:val="21"/>
                <w:u w:val="none"/>
                <w:lang w:val="en-US" w:eastAsia="zh-CN" w:bidi="ar"/>
              </w:rPr>
              <w:t>2</w:t>
            </w:r>
            <w:r>
              <w:rPr>
                <w:rFonts w:hint="eastAsia" w:ascii="宋体" w:hAnsi="宋体" w:eastAsia="宋体" w:cs="宋体"/>
                <w:i w:val="0"/>
                <w:iCs w:val="0"/>
                <w:color w:val="F79646"/>
                <w:kern w:val="0"/>
                <w:sz w:val="21"/>
                <w:szCs w:val="21"/>
                <w:u w:val="none"/>
                <w:lang w:val="en-US" w:eastAsia="zh-CN" w:bidi="ar"/>
              </w:rPr>
              <w:t>接线2，模拟地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adc_ntc_a2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NTC温度传感器</w:t>
            </w:r>
            <w:r>
              <w:rPr>
                <w:rFonts w:hint="eastAsia" w:ascii="宋体" w:hAnsi="宋体" w:cs="宋体"/>
                <w:i w:val="0"/>
                <w:iCs w:val="0"/>
                <w:color w:val="F79646"/>
                <w:kern w:val="0"/>
                <w:sz w:val="21"/>
                <w:szCs w:val="21"/>
                <w:u w:val="none"/>
                <w:lang w:val="en-US" w:eastAsia="zh-CN" w:bidi="ar"/>
              </w:rPr>
              <w:t>2</w:t>
            </w:r>
            <w:r>
              <w:rPr>
                <w:rFonts w:hint="eastAsia" w:ascii="宋体" w:hAnsi="宋体" w:eastAsia="宋体" w:cs="宋体"/>
                <w:i w:val="0"/>
                <w:iCs w:val="0"/>
                <w:color w:val="F79646"/>
                <w:kern w:val="0"/>
                <w:sz w:val="21"/>
                <w:szCs w:val="21"/>
                <w:u w:val="none"/>
                <w:lang w:val="en-US" w:eastAsia="zh-CN" w:bidi="ar"/>
              </w:rPr>
              <w:t>接线</w:t>
            </w:r>
            <w:r>
              <w:rPr>
                <w:rFonts w:hint="eastAsia" w:ascii="宋体" w:hAnsi="宋体" w:cs="宋体"/>
                <w:i w:val="0"/>
                <w:iCs w:val="0"/>
                <w:color w:val="F79646"/>
                <w:kern w:val="0"/>
                <w:sz w:val="21"/>
                <w:szCs w:val="21"/>
                <w:u w:val="none"/>
                <w:lang w:val="en-US" w:eastAsia="zh-CN" w:bidi="ar"/>
              </w:rPr>
              <w:t>1</w:t>
            </w:r>
            <w:r>
              <w:rPr>
                <w:rFonts w:hint="eastAsia" w:ascii="宋体" w:hAnsi="宋体" w:eastAsia="宋体" w:cs="宋体"/>
                <w:i w:val="0"/>
                <w:iCs w:val="0"/>
                <w:color w:val="F79646"/>
                <w:kern w:val="0"/>
                <w:sz w:val="21"/>
                <w:szCs w:val="21"/>
                <w:u w:val="none"/>
                <w:lang w:val="en-US" w:eastAsia="zh-CN" w:bidi="ar"/>
              </w:rPr>
              <w:t>，</w:t>
            </w:r>
            <w:r>
              <w:rPr>
                <w:rFonts w:hint="eastAsia" w:ascii="宋体" w:hAnsi="宋体" w:cs="宋体"/>
                <w:i w:val="0"/>
                <w:iCs w:val="0"/>
                <w:color w:val="F79646"/>
                <w:kern w:val="0"/>
                <w:sz w:val="21"/>
                <w:szCs w:val="21"/>
                <w:u w:val="none"/>
                <w:lang w:val="en-US" w:eastAsia="zh-CN" w:bidi="ar"/>
              </w:rPr>
              <w:t>信号输入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NC</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RS485B3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第3组</w:t>
            </w:r>
            <w:r>
              <w:rPr>
                <w:rFonts w:hint="eastAsia" w:ascii="宋体" w:hAnsi="宋体" w:eastAsia="宋体" w:cs="宋体"/>
                <w:i w:val="0"/>
                <w:iCs w:val="0"/>
                <w:color w:val="F79646"/>
                <w:kern w:val="0"/>
                <w:sz w:val="21"/>
                <w:szCs w:val="21"/>
                <w:u w:val="none"/>
                <w:lang w:val="en-US" w:eastAsia="zh-CN" w:bidi="ar"/>
              </w:rPr>
              <w:t>RS485B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RS485B2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第2组</w:t>
            </w:r>
            <w:r>
              <w:rPr>
                <w:rFonts w:hint="eastAsia" w:ascii="宋体" w:hAnsi="宋体" w:eastAsia="宋体" w:cs="宋体"/>
                <w:i w:val="0"/>
                <w:iCs w:val="0"/>
                <w:color w:val="F79646"/>
                <w:kern w:val="0"/>
                <w:sz w:val="21"/>
                <w:szCs w:val="21"/>
                <w:u w:val="none"/>
                <w:lang w:val="en-US" w:eastAsia="zh-CN" w:bidi="ar"/>
              </w:rPr>
              <w:t>RS485B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RS485B1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第1组</w:t>
            </w:r>
            <w:r>
              <w:rPr>
                <w:rFonts w:hint="eastAsia" w:ascii="宋体" w:hAnsi="宋体" w:eastAsia="宋体" w:cs="宋体"/>
                <w:i w:val="0"/>
                <w:iCs w:val="0"/>
                <w:color w:val="F79646"/>
                <w:kern w:val="0"/>
                <w:sz w:val="21"/>
                <w:szCs w:val="21"/>
                <w:u w:val="none"/>
                <w:lang w:val="en-US" w:eastAsia="zh-CN" w:bidi="ar"/>
              </w:rPr>
              <w:t>RS485B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NC</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RS485A3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第3组</w:t>
            </w:r>
            <w:r>
              <w:rPr>
                <w:rFonts w:hint="eastAsia" w:ascii="宋体" w:hAnsi="宋体" w:eastAsia="宋体" w:cs="宋体"/>
                <w:i w:val="0"/>
                <w:iCs w:val="0"/>
                <w:color w:val="F79646"/>
                <w:kern w:val="0"/>
                <w:sz w:val="21"/>
                <w:szCs w:val="21"/>
                <w:u w:val="none"/>
                <w:lang w:val="en-US" w:eastAsia="zh-CN" w:bidi="ar"/>
              </w:rPr>
              <w:t>RS485A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GND_485_3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第3组</w:t>
            </w:r>
            <w:r>
              <w:rPr>
                <w:rFonts w:hint="eastAsia" w:ascii="宋体" w:hAnsi="宋体" w:eastAsia="宋体" w:cs="宋体"/>
                <w:i w:val="0"/>
                <w:iCs w:val="0"/>
                <w:color w:val="F79646"/>
                <w:kern w:val="0"/>
                <w:sz w:val="21"/>
                <w:szCs w:val="21"/>
                <w:u w:val="none"/>
                <w:lang w:val="en-US" w:eastAsia="zh-CN" w:bidi="ar"/>
              </w:rPr>
              <w:t>RS485地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RS485A2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第2组</w:t>
            </w:r>
            <w:r>
              <w:rPr>
                <w:rFonts w:hint="eastAsia" w:ascii="宋体" w:hAnsi="宋体" w:eastAsia="宋体" w:cs="宋体"/>
                <w:i w:val="0"/>
                <w:iCs w:val="0"/>
                <w:color w:val="F79646"/>
                <w:kern w:val="0"/>
                <w:sz w:val="21"/>
                <w:szCs w:val="21"/>
                <w:u w:val="none"/>
                <w:lang w:val="en-US" w:eastAsia="zh-CN" w:bidi="ar"/>
              </w:rPr>
              <w:t>RS485A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GND_485_2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第2组</w:t>
            </w:r>
            <w:r>
              <w:rPr>
                <w:rFonts w:hint="eastAsia" w:ascii="宋体" w:hAnsi="宋体" w:eastAsia="宋体" w:cs="宋体"/>
                <w:i w:val="0"/>
                <w:iCs w:val="0"/>
                <w:color w:val="F79646"/>
                <w:kern w:val="0"/>
                <w:sz w:val="21"/>
                <w:szCs w:val="21"/>
                <w:u w:val="none"/>
                <w:lang w:val="en-US" w:eastAsia="zh-CN" w:bidi="ar"/>
              </w:rPr>
              <w:t>RS485地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RS485A1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第1组</w:t>
            </w:r>
            <w:r>
              <w:rPr>
                <w:rFonts w:hint="eastAsia" w:ascii="宋体" w:hAnsi="宋体" w:eastAsia="宋体" w:cs="宋体"/>
                <w:i w:val="0"/>
                <w:iCs w:val="0"/>
                <w:color w:val="F79646"/>
                <w:kern w:val="0"/>
                <w:sz w:val="21"/>
                <w:szCs w:val="21"/>
                <w:u w:val="none"/>
                <w:lang w:val="en-US" w:eastAsia="zh-CN" w:bidi="ar"/>
              </w:rPr>
              <w:t>RS485A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GND_485_1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cs="宋体"/>
                <w:i w:val="0"/>
                <w:iCs w:val="0"/>
                <w:color w:val="F79646"/>
                <w:kern w:val="0"/>
                <w:sz w:val="21"/>
                <w:szCs w:val="21"/>
                <w:u w:val="none"/>
                <w:lang w:val="en-US" w:eastAsia="zh-CN" w:bidi="ar"/>
              </w:rPr>
              <w:t>第1组</w:t>
            </w:r>
            <w:r>
              <w:rPr>
                <w:rFonts w:hint="eastAsia" w:ascii="宋体" w:hAnsi="宋体" w:eastAsia="宋体" w:cs="宋体"/>
                <w:i w:val="0"/>
                <w:iCs w:val="0"/>
                <w:color w:val="F79646"/>
                <w:kern w:val="0"/>
                <w:sz w:val="21"/>
                <w:szCs w:val="21"/>
                <w:u w:val="none"/>
                <w:lang w:val="en-US" w:eastAsia="zh-CN" w:bidi="ar"/>
              </w:rPr>
              <w:t>RS485地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GND-OP1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default" w:ascii="宋体" w:hAnsi="宋体" w:eastAsia="宋体" w:cs="宋体"/>
                <w:i w:val="0"/>
                <w:iCs w:val="0"/>
                <w:color w:val="F79646"/>
                <w:sz w:val="21"/>
                <w:szCs w:val="21"/>
                <w:u w:val="none"/>
                <w:lang w:val="en-US" w:eastAsia="zh-CN"/>
              </w:rPr>
            </w:pPr>
            <w:r>
              <w:rPr>
                <w:rFonts w:hint="eastAsia" w:ascii="宋体" w:hAnsi="宋体" w:eastAsia="宋体" w:cs="宋体"/>
                <w:i w:val="0"/>
                <w:iCs w:val="0"/>
                <w:color w:val="F79646"/>
                <w:kern w:val="0"/>
                <w:sz w:val="21"/>
                <w:szCs w:val="21"/>
                <w:u w:val="none"/>
                <w:lang w:val="en-US" w:eastAsia="zh-CN" w:bidi="ar"/>
              </w:rPr>
              <w:t>IN_OPT_1</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IN_OPT_14</w:t>
            </w:r>
            <w:r>
              <w:rPr>
                <w:rFonts w:hint="eastAsia" w:ascii="宋体" w:hAnsi="宋体" w:cs="宋体"/>
                <w:i w:val="0"/>
                <w:iCs w:val="0"/>
                <w:color w:val="F79646"/>
                <w:sz w:val="21"/>
                <w:szCs w:val="21"/>
                <w:u w:val="none"/>
                <w:lang w:val="en-US" w:eastAsia="zh-CN"/>
              </w:rPr>
              <w:t>公共端负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DI输入14,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DI输入1</w:t>
            </w:r>
            <w:r>
              <w:rPr>
                <w:rFonts w:hint="eastAsia" w:ascii="宋体" w:hAnsi="宋体" w:cs="宋体"/>
                <w:i w:val="0"/>
                <w:iCs w:val="0"/>
                <w:color w:val="F79646"/>
                <w:kern w:val="0"/>
                <w:sz w:val="21"/>
                <w:szCs w:val="21"/>
                <w:u w:val="none"/>
                <w:lang w:val="en-US" w:eastAsia="zh-CN" w:bidi="ar"/>
              </w:rPr>
              <w:t>2</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IN_OPT_10</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DI输入1</w:t>
            </w:r>
            <w:r>
              <w:rPr>
                <w:rFonts w:hint="eastAsia" w:ascii="宋体" w:hAnsi="宋体" w:cs="宋体"/>
                <w:i w:val="0"/>
                <w:iCs w:val="0"/>
                <w:color w:val="F79646"/>
                <w:kern w:val="0"/>
                <w:sz w:val="21"/>
                <w:szCs w:val="21"/>
                <w:u w:val="none"/>
                <w:lang w:val="en-US" w:eastAsia="zh-CN" w:bidi="ar"/>
              </w:rPr>
              <w:t>0</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IN_OPT_8</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8</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IN_OPT_6</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6</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4</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GND-OP1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w:t>
            </w:r>
            <w:r>
              <w:rPr>
                <w:rFonts w:hint="eastAsia" w:ascii="宋体" w:hAnsi="宋体" w:cs="宋体"/>
                <w:i w:val="0"/>
                <w:iCs w:val="0"/>
                <w:color w:val="F79646"/>
                <w:kern w:val="0"/>
                <w:sz w:val="21"/>
                <w:szCs w:val="21"/>
                <w:u w:val="none"/>
                <w:lang w:val="en-US" w:eastAsia="zh-CN" w:bidi="ar"/>
              </w:rPr>
              <w:t>-</w:t>
            </w:r>
            <w:r>
              <w:rPr>
                <w:rFonts w:hint="eastAsia" w:ascii="宋体" w:hAnsi="宋体" w:eastAsia="宋体" w:cs="宋体"/>
                <w:i w:val="0"/>
                <w:iCs w:val="0"/>
                <w:color w:val="F79646"/>
                <w:kern w:val="0"/>
                <w:sz w:val="21"/>
                <w:szCs w:val="21"/>
                <w:u w:val="none"/>
                <w:lang w:val="en-US" w:eastAsia="zh-CN" w:bidi="ar"/>
              </w:rPr>
              <w:t>IN_OPT_14</w:t>
            </w:r>
            <w:r>
              <w:rPr>
                <w:rFonts w:hint="eastAsia" w:ascii="宋体" w:hAnsi="宋体" w:cs="宋体"/>
                <w:i w:val="0"/>
                <w:iCs w:val="0"/>
                <w:color w:val="F79646"/>
                <w:sz w:val="21"/>
                <w:szCs w:val="21"/>
                <w:u w:val="none"/>
                <w:lang w:val="en-US" w:eastAsia="zh-CN"/>
              </w:rPr>
              <w:t>公共端负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13</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11</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IN_OPT_9</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9</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7</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IN_OPT_5</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5</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DI输入1,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NC</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GND-OP2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lang w:val="en-US" w:eastAsia="zh-CN"/>
              </w:rPr>
            </w:pPr>
            <w:r>
              <w:rPr>
                <w:rFonts w:hint="eastAsia" w:ascii="宋体" w:hAnsi="宋体" w:eastAsia="宋体" w:cs="宋体"/>
                <w:i w:val="0"/>
                <w:iCs w:val="0"/>
                <w:color w:val="F79646"/>
                <w:kern w:val="0"/>
                <w:sz w:val="21"/>
                <w:szCs w:val="21"/>
                <w:u w:val="none"/>
                <w:lang w:val="en-US" w:eastAsia="zh-CN" w:bidi="ar"/>
              </w:rPr>
              <w:t>IN_OPT_1</w:t>
            </w:r>
            <w:r>
              <w:rPr>
                <w:rFonts w:hint="eastAsia" w:ascii="宋体" w:hAnsi="宋体" w:cs="宋体"/>
                <w:i w:val="0"/>
                <w:iCs w:val="0"/>
                <w:color w:val="F79646"/>
                <w:kern w:val="0"/>
                <w:sz w:val="21"/>
                <w:szCs w:val="21"/>
                <w:u w:val="none"/>
                <w:lang w:val="en-US" w:eastAsia="zh-CN" w:bidi="ar"/>
              </w:rPr>
              <w:t>5-</w:t>
            </w:r>
            <w:r>
              <w:rPr>
                <w:rFonts w:hint="eastAsia" w:ascii="宋体" w:hAnsi="宋体" w:eastAsia="宋体" w:cs="宋体"/>
                <w:i w:val="0"/>
                <w:iCs w:val="0"/>
                <w:color w:val="F79646"/>
                <w:kern w:val="0"/>
                <w:sz w:val="21"/>
                <w:szCs w:val="21"/>
                <w:u w:val="none"/>
                <w:lang w:val="en-US" w:eastAsia="zh-CN" w:bidi="ar"/>
              </w:rPr>
              <w:t>IN_OPT_</w:t>
            </w:r>
            <w:r>
              <w:rPr>
                <w:rFonts w:hint="eastAsia" w:ascii="宋体" w:hAnsi="宋体" w:cs="宋体"/>
                <w:i w:val="0"/>
                <w:iCs w:val="0"/>
                <w:color w:val="F79646"/>
                <w:kern w:val="0"/>
                <w:sz w:val="21"/>
                <w:szCs w:val="21"/>
                <w:u w:val="none"/>
                <w:lang w:val="en-US" w:eastAsia="zh-CN" w:bidi="ar"/>
              </w:rPr>
              <w:t>28</w:t>
            </w:r>
            <w:r>
              <w:rPr>
                <w:rFonts w:hint="eastAsia" w:ascii="宋体" w:hAnsi="宋体" w:cs="宋体"/>
                <w:i w:val="0"/>
                <w:iCs w:val="0"/>
                <w:color w:val="F79646"/>
                <w:sz w:val="21"/>
                <w:szCs w:val="21"/>
                <w:u w:val="none"/>
                <w:lang w:val="en-US" w:eastAsia="zh-CN"/>
              </w:rPr>
              <w:t>公共端负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IN_OPT_28</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28</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IN_OPT_26</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26</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24</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22</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IN_OPT_20</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20</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IN_OPT_18</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18</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A9</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IN_OPT_16</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16</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NC</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GND-OP2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w:t>
            </w:r>
            <w:r>
              <w:rPr>
                <w:rFonts w:hint="eastAsia" w:ascii="宋体" w:hAnsi="宋体" w:cs="宋体"/>
                <w:i w:val="0"/>
                <w:iCs w:val="0"/>
                <w:color w:val="F79646"/>
                <w:kern w:val="0"/>
                <w:sz w:val="21"/>
                <w:szCs w:val="21"/>
                <w:u w:val="none"/>
                <w:lang w:val="en-US" w:eastAsia="zh-CN" w:bidi="ar"/>
              </w:rPr>
              <w:t>5-</w:t>
            </w:r>
            <w:r>
              <w:rPr>
                <w:rFonts w:hint="eastAsia" w:ascii="宋体" w:hAnsi="宋体" w:eastAsia="宋体" w:cs="宋体"/>
                <w:i w:val="0"/>
                <w:iCs w:val="0"/>
                <w:color w:val="F79646"/>
                <w:kern w:val="0"/>
                <w:sz w:val="21"/>
                <w:szCs w:val="21"/>
                <w:u w:val="none"/>
                <w:lang w:val="en-US" w:eastAsia="zh-CN" w:bidi="ar"/>
              </w:rPr>
              <w:t>IN_OPT_</w:t>
            </w:r>
            <w:r>
              <w:rPr>
                <w:rFonts w:hint="eastAsia" w:ascii="宋体" w:hAnsi="宋体" w:cs="宋体"/>
                <w:i w:val="0"/>
                <w:iCs w:val="0"/>
                <w:color w:val="F79646"/>
                <w:kern w:val="0"/>
                <w:sz w:val="21"/>
                <w:szCs w:val="21"/>
                <w:u w:val="none"/>
                <w:lang w:val="en-US" w:eastAsia="zh-CN" w:bidi="ar"/>
              </w:rPr>
              <w:t>28</w:t>
            </w:r>
            <w:r>
              <w:rPr>
                <w:rFonts w:hint="eastAsia" w:ascii="宋体" w:hAnsi="宋体" w:cs="宋体"/>
                <w:i w:val="0"/>
                <w:iCs w:val="0"/>
                <w:color w:val="F79646"/>
                <w:sz w:val="21"/>
                <w:szCs w:val="21"/>
                <w:u w:val="none"/>
                <w:lang w:val="en-US" w:eastAsia="zh-CN"/>
              </w:rPr>
              <w:t>公共端负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27</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IN_OPT_25</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25</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23</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21</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IN_OPT_19</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19</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B8</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17</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B9</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IN_OPT_15</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DI输入1</w:t>
            </w:r>
            <w:r>
              <w:rPr>
                <w:rFonts w:hint="eastAsia" w:ascii="宋体" w:hAnsi="宋体" w:cs="宋体"/>
                <w:i w:val="0"/>
                <w:iCs w:val="0"/>
                <w:color w:val="F79646"/>
                <w:kern w:val="0"/>
                <w:sz w:val="21"/>
                <w:szCs w:val="21"/>
                <w:u w:val="none"/>
                <w:lang w:val="en-US" w:eastAsia="zh-CN" w:bidi="ar"/>
              </w:rPr>
              <w:t>5</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GND-OP3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w:t>
            </w:r>
            <w:r>
              <w:rPr>
                <w:rFonts w:hint="eastAsia" w:ascii="宋体" w:hAnsi="宋体" w:cs="宋体"/>
                <w:i w:val="0"/>
                <w:iCs w:val="0"/>
                <w:color w:val="F79646"/>
                <w:kern w:val="0"/>
                <w:sz w:val="21"/>
                <w:szCs w:val="21"/>
                <w:u w:val="none"/>
                <w:lang w:val="en-US" w:eastAsia="zh-CN" w:bidi="ar"/>
              </w:rPr>
              <w:t>29-</w:t>
            </w:r>
            <w:r>
              <w:rPr>
                <w:rFonts w:hint="eastAsia" w:ascii="宋体" w:hAnsi="宋体" w:eastAsia="宋体" w:cs="宋体"/>
                <w:i w:val="0"/>
                <w:iCs w:val="0"/>
                <w:color w:val="F79646"/>
                <w:kern w:val="0"/>
                <w:sz w:val="21"/>
                <w:szCs w:val="21"/>
                <w:u w:val="none"/>
                <w:lang w:val="en-US" w:eastAsia="zh-CN" w:bidi="ar"/>
              </w:rPr>
              <w:t>IN_OPT_4</w:t>
            </w:r>
            <w:r>
              <w:rPr>
                <w:rFonts w:hint="eastAsia" w:ascii="宋体" w:hAnsi="宋体" w:cs="宋体"/>
                <w:i w:val="0"/>
                <w:iCs w:val="0"/>
                <w:color w:val="F79646"/>
                <w:kern w:val="0"/>
                <w:sz w:val="21"/>
                <w:szCs w:val="21"/>
                <w:u w:val="none"/>
                <w:lang w:val="en-US" w:eastAsia="zh-CN" w:bidi="ar"/>
              </w:rPr>
              <w:t>0</w:t>
            </w:r>
            <w:r>
              <w:rPr>
                <w:rFonts w:hint="eastAsia" w:ascii="宋体" w:hAnsi="宋体" w:cs="宋体"/>
                <w:i w:val="0"/>
                <w:iCs w:val="0"/>
                <w:color w:val="F79646"/>
                <w:sz w:val="21"/>
                <w:szCs w:val="21"/>
                <w:u w:val="none"/>
                <w:lang w:val="en-US" w:eastAsia="zh-CN"/>
              </w:rPr>
              <w:t>公共端负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IN_OPT_40</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40</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IN_OPT_38</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38</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IN_OPT_36</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36</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IN_OPT_34</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34</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IN_OPT_32</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32</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7</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IN_OPT_30</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30</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8</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GND-OP3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w:t>
            </w:r>
            <w:r>
              <w:rPr>
                <w:rFonts w:hint="eastAsia" w:ascii="宋体" w:hAnsi="宋体" w:cs="宋体"/>
                <w:i w:val="0"/>
                <w:iCs w:val="0"/>
                <w:color w:val="F79646"/>
                <w:kern w:val="0"/>
                <w:sz w:val="21"/>
                <w:szCs w:val="21"/>
                <w:u w:val="none"/>
                <w:lang w:val="en-US" w:eastAsia="zh-CN" w:bidi="ar"/>
              </w:rPr>
              <w:t>29-</w:t>
            </w:r>
            <w:r>
              <w:rPr>
                <w:rFonts w:hint="eastAsia" w:ascii="宋体" w:hAnsi="宋体" w:eastAsia="宋体" w:cs="宋体"/>
                <w:i w:val="0"/>
                <w:iCs w:val="0"/>
                <w:color w:val="F79646"/>
                <w:kern w:val="0"/>
                <w:sz w:val="21"/>
                <w:szCs w:val="21"/>
                <w:u w:val="none"/>
                <w:lang w:val="en-US" w:eastAsia="zh-CN" w:bidi="ar"/>
              </w:rPr>
              <w:t>IN_OPT_4</w:t>
            </w:r>
            <w:r>
              <w:rPr>
                <w:rFonts w:hint="eastAsia" w:ascii="宋体" w:hAnsi="宋体" w:cs="宋体"/>
                <w:i w:val="0"/>
                <w:iCs w:val="0"/>
                <w:color w:val="F79646"/>
                <w:kern w:val="0"/>
                <w:sz w:val="21"/>
                <w:szCs w:val="21"/>
                <w:u w:val="none"/>
                <w:lang w:val="en-US" w:eastAsia="zh-CN" w:bidi="ar"/>
              </w:rPr>
              <w:t>0</w:t>
            </w:r>
            <w:r>
              <w:rPr>
                <w:rFonts w:hint="eastAsia" w:ascii="宋体" w:hAnsi="宋体" w:cs="宋体"/>
                <w:i w:val="0"/>
                <w:iCs w:val="0"/>
                <w:color w:val="F79646"/>
                <w:sz w:val="21"/>
                <w:szCs w:val="21"/>
                <w:u w:val="none"/>
                <w:lang w:val="en-US" w:eastAsia="zh-CN"/>
              </w:rPr>
              <w:t>公共端负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9</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IN_OPT_39</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39</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10</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IN_OPT_37</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37</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B4</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IN_OPT_35</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35</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B5</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IN_OPT_33</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33</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B6</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IN_OPT_31</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31</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B7</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IN_OPT_29</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DI输入</w:t>
            </w:r>
            <w:r>
              <w:rPr>
                <w:rFonts w:hint="eastAsia" w:ascii="宋体" w:hAnsi="宋体" w:cs="宋体"/>
                <w:i w:val="0"/>
                <w:iCs w:val="0"/>
                <w:color w:val="F79646"/>
                <w:kern w:val="0"/>
                <w:sz w:val="21"/>
                <w:szCs w:val="21"/>
                <w:u w:val="none"/>
                <w:lang w:val="en-US" w:eastAsia="zh-CN" w:bidi="ar"/>
              </w:rPr>
              <w:t>29</w:t>
            </w:r>
            <w:r>
              <w:rPr>
                <w:rFonts w:hint="eastAsia" w:ascii="宋体" w:hAnsi="宋体" w:eastAsia="宋体" w:cs="宋体"/>
                <w:i w:val="0"/>
                <w:iCs w:val="0"/>
                <w:color w:val="F79646"/>
                <w:kern w:val="0"/>
                <w:sz w:val="21"/>
                <w:szCs w:val="21"/>
                <w:u w:val="none"/>
                <w:lang w:val="en-US" w:eastAsia="zh-CN" w:bidi="ar"/>
              </w:rPr>
              <w:t>, 输入电压24V±30%,隔离电压2000V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Debug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MAIN_SWD_IO</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数据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MAIN_SWD_CLK</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时钟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GND_DEBUG</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EXT_SWD_IO</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数据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5</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EXT_SWD_IO</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时钟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6</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B3</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VCC_DEBUG</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bottom"/>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电源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382" w:type="dxa"/>
            <w:gridSpan w:val="4"/>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XS9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1</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NC</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A2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PE</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外壳地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3</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B1</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24V-</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电源负极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40" w:hRule="atLeast"/>
        </w:trPr>
        <w:tc>
          <w:tcPr>
            <w:tcW w:w="90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4</w:t>
            </w:r>
          </w:p>
        </w:tc>
        <w:tc>
          <w:tcPr>
            <w:tcW w:w="1011"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B2</w:t>
            </w:r>
          </w:p>
        </w:tc>
        <w:tc>
          <w:tcPr>
            <w:tcW w:w="1536"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24V+</w:t>
            </w:r>
          </w:p>
        </w:tc>
        <w:tc>
          <w:tcPr>
            <w:tcW w:w="5929" w:type="dxa"/>
            <w:tcBorders>
              <w:tl2br w:val="nil"/>
              <w:tr2bl w:val="nil"/>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top"/>
              <w:rPr>
                <w:rFonts w:hint="eastAsia" w:ascii="宋体" w:hAnsi="宋体" w:eastAsia="宋体" w:cs="宋体"/>
                <w:i w:val="0"/>
                <w:iCs w:val="0"/>
                <w:color w:val="F79646"/>
                <w:sz w:val="21"/>
                <w:szCs w:val="21"/>
                <w:u w:val="none"/>
              </w:rPr>
            </w:pPr>
            <w:r>
              <w:rPr>
                <w:rFonts w:hint="eastAsia" w:ascii="宋体" w:hAnsi="宋体" w:eastAsia="宋体" w:cs="宋体"/>
                <w:i w:val="0"/>
                <w:iCs w:val="0"/>
                <w:color w:val="F79646"/>
                <w:kern w:val="0"/>
                <w:sz w:val="21"/>
                <w:szCs w:val="21"/>
                <w:u w:val="none"/>
                <w:lang w:val="en-US" w:eastAsia="zh-CN" w:bidi="ar"/>
              </w:rPr>
              <w:t>电源正极</w:t>
            </w:r>
          </w:p>
        </w:tc>
      </w:tr>
    </w:tbl>
    <w:p>
      <w:pPr>
        <w:ind w:left="0" w:leftChars="0" w:firstLine="0" w:firstLineChars="0"/>
        <w:jc w:val="left"/>
        <w:rPr>
          <w:rFonts w:hint="eastAsia"/>
          <w:highlight w:val="cyan"/>
        </w:rPr>
      </w:pPr>
    </w:p>
    <w:tbl>
      <w:tblPr>
        <w:tblStyle w:val="60"/>
        <w:tblpPr w:leftFromText="180" w:rightFromText="180" w:vertAnchor="text" w:horzAnchor="margin" w:tblpY="760"/>
        <w:tblW w:w="9039" w:type="dxa"/>
        <w:tblInd w:w="0" w:type="dxa"/>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
      <w:tblGrid>
        <w:gridCol w:w="2235"/>
        <w:gridCol w:w="2126"/>
        <w:gridCol w:w="283"/>
        <w:gridCol w:w="2127"/>
        <w:gridCol w:w="29"/>
        <w:gridCol w:w="679"/>
        <w:gridCol w:w="1560"/>
      </w:tblGrid>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4820" w:hRule="exact"/>
        </w:trPr>
        <w:tc>
          <w:tcPr>
            <w:tcW w:w="9039" w:type="dxa"/>
            <w:gridSpan w:val="7"/>
            <w:tcBorders>
              <w:bottom w:val="single" w:color="auto" w:sz="12" w:space="0"/>
            </w:tcBorders>
            <w:shd w:val="clear" w:color="auto" w:fill="auto"/>
            <w:vAlign w:val="center"/>
          </w:tcPr>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default" w:ascii="黑体" w:hAnsi="黑体" w:eastAsia="黑体"/>
                <w:sz w:val="36"/>
                <w:szCs w:val="36"/>
              </w:rPr>
              <w:t>KIO0</w:t>
            </w:r>
            <w:r>
              <w:rPr>
                <w:rFonts w:hint="eastAsia" w:ascii="黑体" w:hAnsi="黑体" w:eastAsia="黑体"/>
                <w:sz w:val="36"/>
                <w:szCs w:val="36"/>
              </w:rPr>
              <w:t>3</w:t>
            </w:r>
            <w:r>
              <w:rPr>
                <w:rFonts w:hint="default" w:ascii="黑体" w:hAnsi="黑体" w:eastAsia="黑体"/>
                <w:sz w:val="36"/>
                <w:szCs w:val="36"/>
              </w:rPr>
              <w:t>-01型</w:t>
            </w:r>
            <w:r>
              <w:rPr>
                <w:rFonts w:hint="eastAsia" w:ascii="黑体" w:hAnsi="黑体" w:eastAsia="黑体"/>
                <w:sz w:val="36"/>
                <w:szCs w:val="36"/>
              </w:rPr>
              <w:t>IO模块</w:t>
            </w:r>
          </w:p>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default" w:ascii="黑体" w:hAnsi="黑体" w:eastAsia="黑体"/>
                <w:sz w:val="36"/>
                <w:szCs w:val="36"/>
              </w:rPr>
              <w:t>技术条件</w:t>
            </w:r>
          </w:p>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eastAsia" w:ascii="黑体" w:hAnsi="黑体" w:eastAsia="黑体"/>
                <w:sz w:val="36"/>
                <w:szCs w:val="36"/>
              </w:rPr>
              <w:t>TR001259</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2235" w:type="dxa"/>
            <w:tcBorders>
              <w:top w:val="single" w:color="auto" w:sz="12"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所属部门</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default"/>
              </w:rPr>
              <w:t>Responsible</w:t>
            </w:r>
            <w:r>
              <w:rPr>
                <w:rFonts w:hint="eastAsia"/>
              </w:rPr>
              <w:t xml:space="preserve"> Division</w:t>
            </w:r>
          </w:p>
        </w:tc>
        <w:tc>
          <w:tcPr>
            <w:tcW w:w="24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文件类型</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Document Type</w:t>
            </w:r>
          </w:p>
        </w:tc>
        <w:tc>
          <w:tcPr>
            <w:tcW w:w="2156"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CP编号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CP Number</w:t>
            </w:r>
          </w:p>
        </w:tc>
        <w:tc>
          <w:tcPr>
            <w:tcW w:w="2239" w:type="dxa"/>
            <w:gridSpan w:val="2"/>
            <w:tcBorders>
              <w:top w:val="single" w:color="auto" w:sz="12" w:space="0"/>
              <w:left w:val="single" w:color="auto" w:sz="4" w:space="0"/>
              <w:bottom w:val="single" w:color="auto" w:sz="8"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项目代号</w:t>
            </w:r>
          </w:p>
          <w:p>
            <w:pPr>
              <w:pStyle w:val="189"/>
              <w:keepNext w:val="0"/>
              <w:keepLines w:val="0"/>
              <w:framePr w:hSpace="0" w:wrap="auto" w:vAnchor="margin" w:hAnchor="text" w:yAlign="inline"/>
              <w:suppressLineNumbers w:val="0"/>
              <w:spacing w:before="0" w:beforeAutospacing="0" w:after="0" w:afterAutospacing="0"/>
              <w:ind w:left="0" w:right="0"/>
              <w:rPr>
                <w:rFonts w:hint="default" w:ascii="宋体" w:hAnsi="宋体"/>
              </w:rPr>
            </w:pPr>
            <w:r>
              <w:rPr>
                <w:rFonts w:hint="eastAsia"/>
              </w:rPr>
              <w:t>Project Number</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2235" w:type="dxa"/>
            <w:tcBorders>
              <w:top w:val="single" w:color="auto" w:sz="8"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技术中心</w:t>
            </w:r>
          </w:p>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Technical Centre</w:t>
            </w:r>
          </w:p>
        </w:tc>
        <w:tc>
          <w:tcPr>
            <w:tcW w:w="2409" w:type="dxa"/>
            <w:gridSpan w:val="2"/>
            <w:tcBorders>
              <w:top w:val="single" w:color="auto" w:sz="8" w:space="0"/>
              <w:left w:val="single" w:color="auto" w:sz="4"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技术条件</w:t>
            </w:r>
          </w:p>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Technical Requirement</w:t>
            </w:r>
          </w:p>
        </w:tc>
        <w:tc>
          <w:tcPr>
            <w:tcW w:w="2156" w:type="dxa"/>
            <w:gridSpan w:val="2"/>
            <w:tcBorders>
              <w:top w:val="single" w:color="auto" w:sz="8" w:space="0"/>
              <w:left w:val="single" w:color="auto" w:sz="4"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default"/>
              </w:rPr>
              <w:t>/</w:t>
            </w:r>
          </w:p>
        </w:tc>
        <w:tc>
          <w:tcPr>
            <w:tcW w:w="2239" w:type="dxa"/>
            <w:gridSpan w:val="2"/>
            <w:tcBorders>
              <w:top w:val="single" w:color="auto" w:sz="8" w:space="0"/>
              <w:left w:val="single" w:color="auto" w:sz="4" w:space="0"/>
              <w:bottom w:val="single" w:color="auto" w:sz="12"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4526" w:hRule="atLeast"/>
        </w:trPr>
        <w:tc>
          <w:tcPr>
            <w:tcW w:w="9039" w:type="dxa"/>
            <w:gridSpan w:val="7"/>
            <w:tcBorders>
              <w:top w:val="single" w:color="auto" w:sz="12" w:space="0"/>
              <w:bottom w:val="single" w:color="auto" w:sz="12" w:space="0"/>
            </w:tcBorders>
            <w:shd w:val="clear" w:color="auto" w:fill="auto"/>
          </w:tcPr>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编制</w:t>
            </w:r>
            <w:r>
              <w:rPr>
                <w:rFonts w:hint="eastAsia" w:ascii="Calibri" w:hAnsi="Calibri"/>
                <w:b/>
                <w:sz w:val="21"/>
                <w:szCs w:val="21"/>
              </w:rPr>
              <w:t>Written by：</w:t>
            </w:r>
            <w:r>
              <w:rPr>
                <w:rFonts w:hint="default" w:ascii="Calibri" w:hAnsi="Calibri"/>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r>
              <w:rPr>
                <w:rFonts w:hint="eastAsia"/>
                <w:b/>
                <w:szCs w:val="20"/>
              </w:rPr>
              <w:t xml:space="preserve">                  </w:t>
            </w:r>
            <w:r>
              <w:rPr>
                <w:rFonts w:hint="eastAsia"/>
                <w:szCs w:val="20"/>
                <w:u w:val="single"/>
              </w:rPr>
              <w:t xml:space="preserve">                      </w:t>
            </w:r>
            <w:r>
              <w:rPr>
                <w:rFonts w:hint="eastAsia"/>
                <w:b/>
                <w:szCs w:val="20"/>
              </w:rPr>
              <w:t xml:space="preserve">     </w:t>
            </w:r>
            <w:r>
              <w:rPr>
                <w:rFonts w:hint="default"/>
                <w:b/>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校对</w:t>
            </w:r>
            <w:r>
              <w:rPr>
                <w:rFonts w:hint="default" w:ascii="Calibri" w:hAnsi="Calibri"/>
                <w:b/>
                <w:sz w:val="21"/>
                <w:szCs w:val="21"/>
              </w:rPr>
              <w:t>C</w:t>
            </w:r>
            <w:r>
              <w:rPr>
                <w:rFonts w:hint="eastAsia" w:ascii="Calibri" w:hAnsi="Calibri"/>
                <w:b/>
                <w:sz w:val="21"/>
                <w:szCs w:val="21"/>
              </w:rPr>
              <w:t>hecked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szCs w:val="20"/>
              </w:rPr>
            </w:pPr>
            <w:r>
              <w:rPr>
                <w:rFonts w:hint="eastAsia"/>
                <w:b/>
                <w:szCs w:val="20"/>
              </w:rPr>
              <w:t xml:space="preserve">                  </w:t>
            </w:r>
            <w:r>
              <w:rPr>
                <w:rFonts w:hint="eastAsia"/>
                <w:szCs w:val="20"/>
                <w:u w:val="single"/>
              </w:rPr>
              <w:t xml:space="preserve">                      </w:t>
            </w:r>
            <w:r>
              <w:rPr>
                <w:rFonts w:hint="eastAsia"/>
                <w:szCs w:val="20"/>
              </w:rPr>
              <w:t xml:space="preserve">     </w:t>
            </w:r>
            <w:r>
              <w:rPr>
                <w:rFonts w:hint="default"/>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审核</w:t>
            </w:r>
            <w:r>
              <w:rPr>
                <w:rFonts w:hint="eastAsia" w:ascii="Calibri" w:hAnsi="Calibri"/>
                <w:b/>
                <w:sz w:val="21"/>
                <w:szCs w:val="21"/>
              </w:rPr>
              <w:t>Reviewed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u w:val="single"/>
              </w:rPr>
            </w:pPr>
            <w:r>
              <w:rPr>
                <w:rFonts w:hint="eastAsia"/>
                <w:b/>
                <w:szCs w:val="20"/>
              </w:rPr>
              <w:t xml:space="preserve">                  </w:t>
            </w:r>
            <w:r>
              <w:rPr>
                <w:rFonts w:hint="eastAsia"/>
                <w:szCs w:val="20"/>
                <w:u w:val="single"/>
              </w:rPr>
              <w:t xml:space="preserve">                      </w:t>
            </w:r>
            <w:r>
              <w:rPr>
                <w:rFonts w:hint="eastAsia"/>
                <w:b/>
                <w:szCs w:val="20"/>
              </w:rPr>
              <w:t xml:space="preserve">     </w:t>
            </w:r>
            <w:r>
              <w:rPr>
                <w:rFonts w:hint="default"/>
                <w:b/>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批准</w:t>
            </w:r>
            <w:r>
              <w:rPr>
                <w:rFonts w:hint="eastAsia" w:ascii="Calibri" w:hAnsi="Calibri"/>
                <w:b/>
                <w:sz w:val="21"/>
                <w:szCs w:val="21"/>
              </w:rPr>
              <w:t>Approved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0"/>
              <w:jc w:val="left"/>
              <w:rPr>
                <w:rFonts w:hint="default"/>
                <w:szCs w:val="20"/>
                <w:u w:val="single"/>
              </w:rPr>
            </w:pPr>
            <w:r>
              <w:rPr>
                <w:rFonts w:hint="eastAsia"/>
                <w:szCs w:val="20"/>
              </w:rPr>
              <w:t xml:space="preserve">                  </w:t>
            </w:r>
            <w:r>
              <w:rPr>
                <w:rFonts w:hint="eastAsia"/>
                <w:szCs w:val="20"/>
                <w:u w:val="single"/>
              </w:rPr>
              <w:t xml:space="preserve">                      </w:t>
            </w:r>
            <w:r>
              <w:rPr>
                <w:rFonts w:hint="eastAsia"/>
                <w:szCs w:val="20"/>
              </w:rPr>
              <w:t xml:space="preserve">     </w:t>
            </w:r>
            <w:r>
              <w:rPr>
                <w:rFonts w:hint="default"/>
                <w:szCs w:val="20"/>
              </w:rPr>
              <w:t xml:space="preserve">   </w:t>
            </w:r>
            <w:r>
              <w:rPr>
                <w:rFonts w:hint="eastAsia"/>
                <w:szCs w:val="20"/>
                <w:u w:val="single"/>
              </w:rPr>
              <w:t xml:space="preserve">          </w:t>
            </w:r>
          </w:p>
          <w:p>
            <w:pPr>
              <w:keepNext w:val="0"/>
              <w:keepLines w:val="0"/>
              <w:suppressLineNumbers w:val="0"/>
              <w:spacing w:before="0" w:beforeAutospacing="0" w:after="0" w:afterAutospacing="0" w:line="360" w:lineRule="auto"/>
              <w:ind w:left="0" w:right="0" w:firstLine="480"/>
              <w:jc w:val="left"/>
              <w:rPr>
                <w:rFonts w:hint="default"/>
                <w:szCs w:val="20"/>
              </w:rPr>
            </w:pPr>
            <w:r>
              <w:rPr>
                <w:rFonts w:hint="eastAsia"/>
                <w:szCs w:val="20"/>
              </w:rPr>
              <w:t xml:space="preserve">                       </w:t>
            </w:r>
            <w:r>
              <w:rPr>
                <w:rFonts w:hint="eastAsia" w:ascii="宋体" w:hAnsi="宋体"/>
                <w:sz w:val="21"/>
                <w:szCs w:val="21"/>
              </w:rPr>
              <w:t>签字</w:t>
            </w:r>
            <w:r>
              <w:rPr>
                <w:rFonts w:hint="eastAsia" w:ascii="Calibri" w:hAnsi="Calibri"/>
                <w:sz w:val="21"/>
                <w:szCs w:val="21"/>
              </w:rPr>
              <w:t>（Signature）</w:t>
            </w:r>
            <w:r>
              <w:rPr>
                <w:rFonts w:hint="eastAsia"/>
                <w:szCs w:val="20"/>
              </w:rPr>
              <w:t xml:space="preserve">           </w:t>
            </w:r>
            <w:r>
              <w:rPr>
                <w:rFonts w:hint="eastAsia" w:ascii="宋体" w:hAnsi="宋体"/>
                <w:sz w:val="21"/>
                <w:szCs w:val="21"/>
              </w:rPr>
              <w:t>日期</w:t>
            </w:r>
            <w:r>
              <w:rPr>
                <w:rFonts w:hint="eastAsia" w:ascii="Calibri" w:hAnsi="Calibri"/>
                <w:sz w:val="21"/>
                <w:szCs w:val="21"/>
              </w:rPr>
              <w:t>（Date）</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1030" w:hRule="exact"/>
        </w:trPr>
        <w:tc>
          <w:tcPr>
            <w:tcW w:w="4361" w:type="dxa"/>
            <w:gridSpan w:val="2"/>
            <w:vMerge w:val="restart"/>
            <w:tcBorders>
              <w:top w:val="single" w:color="auto" w:sz="12" w:space="0"/>
              <w:right w:val="single" w:color="auto" w:sz="4" w:space="0"/>
            </w:tcBorders>
            <w:shd w:val="clear" w:color="auto" w:fill="auto"/>
          </w:tcPr>
          <w:p>
            <w:pPr>
              <w:pStyle w:val="156"/>
              <w:keepNext w:val="0"/>
              <w:keepLines w:val="0"/>
              <w:widowControl/>
              <w:suppressLineNumbers w:val="0"/>
              <w:spacing w:beforeAutospacing="0" w:after="0" w:afterAutospacing="0"/>
              <w:ind w:left="0" w:right="0"/>
              <w:jc w:val="left"/>
              <w:rPr>
                <w:rFonts w:hint="default"/>
                <w:bCs/>
                <w:sz w:val="18"/>
                <w:szCs w:val="18"/>
              </w:rPr>
            </w:pPr>
            <w:r>
              <w:rPr>
                <w:rFonts w:hint="eastAsia"/>
                <w:sz w:val="18"/>
                <w:szCs w:val="18"/>
              </w:rPr>
              <w:t>本技术资料版权归石家庄国祥运输设备有限公司所有，未经本公司许可，不得向第三方泄漏，不得复制或公开发表。</w:t>
            </w:r>
          </w:p>
          <w:p>
            <w:pPr>
              <w:pStyle w:val="156"/>
              <w:keepNext w:val="0"/>
              <w:keepLines w:val="0"/>
              <w:widowControl/>
              <w:suppressLineNumbers w:val="0"/>
              <w:spacing w:beforeAutospacing="0" w:after="0" w:afterAutospacing="0"/>
              <w:ind w:left="0" w:right="0"/>
              <w:jc w:val="left"/>
              <w:rPr>
                <w:rFonts w:hint="default"/>
              </w:rPr>
            </w:pPr>
            <w:r>
              <w:rPr>
                <w:rFonts w:hint="default"/>
                <w:sz w:val="18"/>
                <w:szCs w:val="18"/>
              </w:rPr>
              <w:t>This document and its contents are the property of Shijiazhuang KING Transportation Equipment CO., LTD., or its subsidiaries. This document contains confidential proprietary information. The reproduction, distribution, utilization or the communication of this document or any part thereof, without express authorization is strictly prohibited.</w:t>
            </w:r>
          </w:p>
        </w:tc>
        <w:tc>
          <w:tcPr>
            <w:tcW w:w="4678" w:type="dxa"/>
            <w:gridSpan w:val="5"/>
            <w:tcBorders>
              <w:top w:val="single" w:color="auto" w:sz="12" w:space="0"/>
              <w:left w:val="single" w:color="auto" w:sz="4" w:space="0"/>
            </w:tcBorders>
            <w:shd w:val="clear" w:color="auto" w:fill="auto"/>
          </w:tcPr>
          <w:p>
            <w:pPr>
              <w:keepNext w:val="0"/>
              <w:keepLines w:val="0"/>
              <w:suppressLineNumbers w:val="0"/>
              <w:spacing w:before="0" w:beforeAutospacing="0" w:after="0" w:afterAutospacing="0"/>
              <w:ind w:left="0" w:right="0" w:firstLine="422"/>
              <w:jc w:val="left"/>
              <w:rPr>
                <w:rFonts w:hint="default" w:ascii="Calibri" w:hAnsi="Calibri"/>
                <w:b/>
                <w:sz w:val="21"/>
                <w:szCs w:val="21"/>
              </w:rPr>
            </w:pPr>
            <w:r>
              <w:rPr>
                <w:rFonts w:hint="eastAsia" w:ascii="宋体" w:hAnsi="宋体"/>
                <w:b/>
                <w:sz w:val="21"/>
                <w:szCs w:val="21"/>
              </w:rPr>
              <w:t>内部</w:t>
            </w:r>
            <w:r>
              <w:rPr>
                <w:rFonts w:hint="default" w:ascii="宋体" w:hAnsi="宋体"/>
                <w:b/>
                <w:sz w:val="21"/>
                <w:szCs w:val="21"/>
              </w:rPr>
              <w:t>文件编号</w:t>
            </w:r>
            <w:r>
              <w:rPr>
                <w:rFonts w:hint="eastAsia" w:ascii="Calibri" w:hAnsi="Calibri"/>
                <w:b/>
                <w:sz w:val="21"/>
                <w:szCs w:val="21"/>
              </w:rPr>
              <w:t>Internal Document No.</w:t>
            </w:r>
          </w:p>
          <w:p>
            <w:pPr>
              <w:keepNext w:val="0"/>
              <w:keepLines w:val="0"/>
              <w:suppressLineNumbers w:val="0"/>
              <w:spacing w:before="120" w:beforeAutospacing="0" w:after="0" w:afterAutospacing="0" w:line="360" w:lineRule="auto"/>
              <w:ind w:left="0" w:right="0" w:firstLine="643"/>
              <w:jc w:val="center"/>
              <w:rPr>
                <w:rFonts w:hint="default" w:ascii="Calibri" w:hAnsi="Calibri"/>
                <w:b/>
                <w:strike/>
                <w:sz w:val="32"/>
                <w:szCs w:val="32"/>
              </w:rPr>
            </w:pP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695" w:hRule="exact"/>
        </w:trPr>
        <w:tc>
          <w:tcPr>
            <w:tcW w:w="4361" w:type="dxa"/>
            <w:gridSpan w:val="2"/>
            <w:vMerge w:val="continue"/>
            <w:tcBorders>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firstLine="480"/>
              <w:jc w:val="center"/>
              <w:rPr>
                <w:rFonts w:hint="default"/>
                <w:szCs w:val="20"/>
              </w:rPr>
            </w:pPr>
          </w:p>
        </w:tc>
        <w:tc>
          <w:tcPr>
            <w:tcW w:w="2410" w:type="dxa"/>
            <w:gridSpan w:val="2"/>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客户文件编号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Customer Document No.</w:t>
            </w:r>
          </w:p>
        </w:tc>
        <w:tc>
          <w:tcPr>
            <w:tcW w:w="708" w:type="dxa"/>
            <w:gridSpan w:val="2"/>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版本</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Rev.</w:t>
            </w:r>
          </w:p>
        </w:tc>
        <w:tc>
          <w:tcPr>
            <w:tcW w:w="1560" w:type="dxa"/>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客户代号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Customer Code</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4361" w:type="dxa"/>
            <w:gridSpan w:val="2"/>
            <w:vMerge w:val="continue"/>
            <w:tcBorders>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firstLine="480"/>
              <w:jc w:val="center"/>
              <w:rPr>
                <w:rFonts w:hint="default"/>
                <w:szCs w:val="20"/>
              </w:rPr>
            </w:pPr>
          </w:p>
        </w:tc>
        <w:tc>
          <w:tcPr>
            <w:tcW w:w="2410" w:type="dxa"/>
            <w:gridSpan w:val="2"/>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r>
              <w:rPr>
                <w:rFonts w:hint="eastAsia"/>
                <w:szCs w:val="20"/>
              </w:rPr>
              <w:t>/</w:t>
            </w:r>
          </w:p>
        </w:tc>
        <w:tc>
          <w:tcPr>
            <w:tcW w:w="708" w:type="dxa"/>
            <w:gridSpan w:val="2"/>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p>
        </w:tc>
        <w:tc>
          <w:tcPr>
            <w:tcW w:w="1560" w:type="dxa"/>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r>
              <w:rPr>
                <w:rFonts w:hint="eastAsia"/>
                <w:szCs w:val="20"/>
              </w:rPr>
              <w:t>/</w:t>
            </w:r>
          </w:p>
        </w:tc>
      </w:tr>
    </w:tbl>
    <w:p>
      <w:pPr>
        <w:ind w:firstLine="480"/>
      </w:pPr>
    </w:p>
    <w:p>
      <w:pPr>
        <w:pStyle w:val="43"/>
        <w:ind w:firstLine="643"/>
      </w:pPr>
      <w:r>
        <w:rPr>
          <w:rFonts w:hint="eastAsia"/>
        </w:rPr>
        <w:t>历史记录</w:t>
      </w:r>
    </w:p>
    <w:p>
      <w:pPr>
        <w:pStyle w:val="43"/>
        <w:ind w:firstLine="643"/>
        <w:rPr>
          <w:bCs/>
        </w:rPr>
      </w:pPr>
      <w:r>
        <w:t>Revision Log</w:t>
      </w:r>
    </w:p>
    <w:p>
      <w:pPr>
        <w:adjustRightInd w:val="0"/>
        <w:snapToGrid w:val="0"/>
        <w:ind w:firstLine="544"/>
        <w:jc w:val="center"/>
        <w:rPr>
          <w:rFonts w:ascii="Arial" w:hAnsi="Arial" w:cs="Arial"/>
          <w:spacing w:val="16"/>
        </w:rPr>
      </w:pPr>
    </w:p>
    <w:tbl>
      <w:tblPr>
        <w:tblStyle w:val="60"/>
        <w:tblW w:w="88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349"/>
        <w:gridCol w:w="165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版本</w:t>
            </w:r>
          </w:p>
          <w:p>
            <w:pPr>
              <w:pStyle w:val="156"/>
              <w:keepNext w:val="0"/>
              <w:keepLines w:val="0"/>
              <w:widowControl/>
              <w:suppressLineNumbers w:val="0"/>
              <w:spacing w:beforeAutospacing="0" w:after="0" w:afterAutospacing="0"/>
              <w:ind w:left="0" w:right="0"/>
              <w:rPr>
                <w:rFonts w:hint="default"/>
              </w:rPr>
            </w:pPr>
            <w:r>
              <w:rPr>
                <w:rFonts w:hint="default"/>
              </w:rPr>
              <w:t>Revision</w:t>
            </w:r>
          </w:p>
        </w:tc>
        <w:tc>
          <w:tcPr>
            <w:tcW w:w="4349"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更改描述</w:t>
            </w:r>
          </w:p>
          <w:p>
            <w:pPr>
              <w:pStyle w:val="156"/>
              <w:keepNext w:val="0"/>
              <w:keepLines w:val="0"/>
              <w:widowControl/>
              <w:suppressLineNumbers w:val="0"/>
              <w:spacing w:beforeAutospacing="0" w:after="0" w:afterAutospacing="0"/>
              <w:ind w:left="0" w:right="0"/>
              <w:rPr>
                <w:rFonts w:hint="default"/>
              </w:rPr>
            </w:pPr>
            <w:r>
              <w:rPr>
                <w:rFonts w:hint="default"/>
              </w:rPr>
              <w:t>Description</w:t>
            </w:r>
          </w:p>
        </w:tc>
        <w:tc>
          <w:tcPr>
            <w:tcW w:w="1650"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作者</w:t>
            </w:r>
          </w:p>
          <w:p>
            <w:pPr>
              <w:pStyle w:val="156"/>
              <w:keepNext w:val="0"/>
              <w:keepLines w:val="0"/>
              <w:widowControl/>
              <w:suppressLineNumbers w:val="0"/>
              <w:spacing w:beforeAutospacing="0" w:after="0" w:afterAutospacing="0"/>
              <w:ind w:left="0" w:right="0"/>
              <w:rPr>
                <w:rFonts w:hint="default"/>
              </w:rPr>
            </w:pPr>
            <w:r>
              <w:rPr>
                <w:rFonts w:hint="default"/>
              </w:rPr>
              <w:t>Author</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日期</w:t>
            </w:r>
          </w:p>
          <w:p>
            <w:pPr>
              <w:pStyle w:val="156"/>
              <w:keepNext w:val="0"/>
              <w:keepLines w:val="0"/>
              <w:widowControl/>
              <w:suppressLineNumbers w:val="0"/>
              <w:spacing w:beforeAutospacing="0" w:after="0" w:afterAutospacing="0"/>
              <w:ind w:left="0" w:right="0"/>
              <w:rPr>
                <w:rFonts w:hint="default"/>
              </w:rPr>
            </w:pPr>
            <w:r>
              <w:rPr>
                <w:rFonts w:hint="default"/>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276" w:type="dxa"/>
          </w:tcPr>
          <w:p>
            <w:pPr>
              <w:pStyle w:val="156"/>
              <w:keepNext w:val="0"/>
              <w:keepLines w:val="0"/>
              <w:widowControl/>
              <w:suppressLineNumbers w:val="0"/>
              <w:spacing w:beforeAutospacing="0" w:after="0" w:afterAutospacing="0"/>
              <w:ind w:left="0" w:right="0"/>
              <w:rPr>
                <w:rFonts w:hint="default"/>
              </w:rPr>
            </w:pPr>
            <w:r>
              <w:rPr>
                <w:rFonts w:hint="default"/>
              </w:rPr>
              <w:t>A</w:t>
            </w:r>
          </w:p>
        </w:tc>
        <w:tc>
          <w:tcPr>
            <w:tcW w:w="4349" w:type="dxa"/>
          </w:tcPr>
          <w:p>
            <w:pPr>
              <w:pStyle w:val="156"/>
              <w:keepNext w:val="0"/>
              <w:keepLines w:val="0"/>
              <w:widowControl/>
              <w:suppressLineNumbers w:val="0"/>
              <w:spacing w:beforeAutospacing="0" w:after="0" w:afterAutospacing="0"/>
              <w:ind w:left="0" w:right="0"/>
              <w:rPr>
                <w:rFonts w:hint="default"/>
              </w:rPr>
            </w:pPr>
            <w:r>
              <w:rPr>
                <w:rFonts w:hint="eastAsia"/>
              </w:rPr>
              <w:t>初版</w:t>
            </w:r>
          </w:p>
        </w:tc>
        <w:tc>
          <w:tcPr>
            <w:tcW w:w="1650" w:type="dxa"/>
          </w:tcPr>
          <w:p>
            <w:pPr>
              <w:pStyle w:val="156"/>
              <w:keepNext w:val="0"/>
              <w:keepLines w:val="0"/>
              <w:widowControl/>
              <w:suppressLineNumbers w:val="0"/>
              <w:spacing w:beforeAutospacing="0" w:after="0" w:afterAutospacing="0"/>
              <w:ind w:left="0" w:right="0"/>
              <w:rPr>
                <w:rFonts w:hint="default"/>
              </w:rPr>
            </w:pPr>
            <w:r>
              <w:rPr>
                <w:rFonts w:hint="eastAsia"/>
              </w:rPr>
              <w:t>郝腾飞</w:t>
            </w:r>
          </w:p>
        </w:tc>
        <w:tc>
          <w:tcPr>
            <w:tcW w:w="1557" w:type="dxa"/>
          </w:tcPr>
          <w:p>
            <w:pPr>
              <w:pStyle w:val="156"/>
              <w:keepNext w:val="0"/>
              <w:keepLines w:val="0"/>
              <w:widowControl/>
              <w:suppressLineNumbers w:val="0"/>
              <w:spacing w:beforeAutospacing="0" w:after="0" w:afterAutospacing="0"/>
              <w:ind w:left="0" w:right="0"/>
              <w:rPr>
                <w:rFonts w:hint="default"/>
              </w:rPr>
            </w:pPr>
            <w:r>
              <w:rPr>
                <w:rFonts w:hint="eastAsia"/>
              </w:rPr>
              <w:t>2022.08.24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276" w:type="dxa"/>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B</w:t>
            </w:r>
          </w:p>
        </w:tc>
        <w:tc>
          <w:tcPr>
            <w:tcW w:w="4349" w:type="dxa"/>
          </w:tcPr>
          <w:p>
            <w:pPr>
              <w:pStyle w:val="156"/>
              <w:keepNext w:val="0"/>
              <w:keepLines w:val="0"/>
              <w:widowControl/>
              <w:suppressLineNumbers w:val="0"/>
              <w:spacing w:beforeAutospacing="0" w:after="0" w:afterAutospacing="0"/>
              <w:ind w:left="0" w:right="0"/>
              <w:rPr>
                <w:rFonts w:hint="eastAsia"/>
                <w:color w:val="FF0000"/>
              </w:rPr>
            </w:pPr>
            <w:r>
              <w:rPr>
                <w:rFonts w:hint="default"/>
                <w:color w:val="FF0000"/>
              </w:rPr>
              <w:t>增加连接器插头丝印要求</w:t>
            </w:r>
          </w:p>
        </w:tc>
        <w:tc>
          <w:tcPr>
            <w:tcW w:w="1650" w:type="dxa"/>
          </w:tcPr>
          <w:p>
            <w:pPr>
              <w:pStyle w:val="156"/>
              <w:keepNext w:val="0"/>
              <w:keepLines w:val="0"/>
              <w:widowControl/>
              <w:suppressLineNumbers w:val="0"/>
              <w:spacing w:beforeAutospacing="0" w:after="0" w:afterAutospacing="0"/>
              <w:ind w:left="0" w:right="0"/>
              <w:rPr>
                <w:rFonts w:hint="default"/>
                <w:color w:val="FF0000"/>
              </w:rPr>
            </w:pPr>
            <w:r>
              <w:rPr>
                <w:rFonts w:hint="default"/>
                <w:color w:val="FF0000"/>
              </w:rPr>
              <w:t>郝腾飞</w:t>
            </w:r>
          </w:p>
        </w:tc>
        <w:tc>
          <w:tcPr>
            <w:tcW w:w="1557" w:type="dxa"/>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2</w:t>
            </w:r>
            <w:r>
              <w:rPr>
                <w:rFonts w:hint="default"/>
                <w:color w:val="FF0000"/>
              </w:rPr>
              <w:t>023.07.26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276" w:type="dxa"/>
          </w:tcPr>
          <w:p>
            <w:pPr>
              <w:pStyle w:val="156"/>
              <w:keepNext w:val="0"/>
              <w:keepLines w:val="0"/>
              <w:widowControl/>
              <w:suppressLineNumbers w:val="0"/>
              <w:spacing w:beforeAutospacing="0" w:after="0" w:afterAutospacing="0"/>
              <w:ind w:left="0" w:right="0"/>
              <w:rPr>
                <w:rFonts w:hint="eastAsia" w:eastAsia="宋体"/>
                <w:color w:val="0000FF"/>
                <w:lang w:val="en-US" w:eastAsia="zh-CN"/>
              </w:rPr>
            </w:pPr>
            <w:r>
              <w:rPr>
                <w:rFonts w:hint="eastAsia"/>
                <w:color w:val="0000FF"/>
                <w:lang w:val="en-US" w:eastAsia="zh-CN"/>
              </w:rPr>
              <w:t>C</w:t>
            </w:r>
          </w:p>
        </w:tc>
        <w:tc>
          <w:tcPr>
            <w:tcW w:w="4349" w:type="dxa"/>
          </w:tcPr>
          <w:p>
            <w:pPr>
              <w:pStyle w:val="156"/>
              <w:keepNext w:val="0"/>
              <w:keepLines w:val="0"/>
              <w:widowControl/>
              <w:suppressLineNumbers w:val="0"/>
              <w:spacing w:beforeAutospacing="0" w:after="0" w:afterAutospacing="0"/>
              <w:ind w:left="0" w:right="0"/>
              <w:rPr>
                <w:rFonts w:hint="eastAsia" w:eastAsia="宋体"/>
                <w:color w:val="0000FF"/>
                <w:lang w:val="en-US" w:eastAsia="zh-CN"/>
              </w:rPr>
            </w:pPr>
            <w:r>
              <w:rPr>
                <w:rFonts w:hint="eastAsia"/>
                <w:color w:val="0000FF"/>
                <w:lang w:val="en-US" w:eastAsia="zh-CN"/>
              </w:rPr>
              <w:t>要求防松线出厂之前画好</w:t>
            </w:r>
          </w:p>
        </w:tc>
        <w:tc>
          <w:tcPr>
            <w:tcW w:w="1650" w:type="dxa"/>
          </w:tcPr>
          <w:p>
            <w:pPr>
              <w:pStyle w:val="156"/>
              <w:keepNext w:val="0"/>
              <w:keepLines w:val="0"/>
              <w:widowControl/>
              <w:suppressLineNumbers w:val="0"/>
              <w:spacing w:beforeAutospacing="0" w:after="0" w:afterAutospacing="0"/>
              <w:ind w:left="0" w:right="0"/>
              <w:rPr>
                <w:rFonts w:hint="eastAsia" w:eastAsia="宋体"/>
                <w:color w:val="0000FF"/>
                <w:lang w:val="en-US" w:eastAsia="zh-CN"/>
              </w:rPr>
            </w:pPr>
            <w:r>
              <w:rPr>
                <w:rFonts w:hint="eastAsia"/>
                <w:color w:val="0000FF"/>
                <w:lang w:val="en-US" w:eastAsia="zh-CN"/>
              </w:rPr>
              <w:t>郝腾飞</w:t>
            </w:r>
          </w:p>
        </w:tc>
        <w:tc>
          <w:tcPr>
            <w:tcW w:w="1557" w:type="dxa"/>
          </w:tcPr>
          <w:p>
            <w:pPr>
              <w:pStyle w:val="156"/>
              <w:keepNext w:val="0"/>
              <w:keepLines w:val="0"/>
              <w:widowControl/>
              <w:suppressLineNumbers w:val="0"/>
              <w:spacing w:beforeAutospacing="0" w:after="0" w:afterAutospacing="0"/>
              <w:ind w:left="0" w:right="0"/>
              <w:rPr>
                <w:rFonts w:hint="eastAsia" w:eastAsia="宋体"/>
                <w:color w:val="0000FF"/>
                <w:lang w:val="en-US" w:eastAsia="zh-CN"/>
              </w:rPr>
            </w:pPr>
            <w:r>
              <w:rPr>
                <w:rFonts w:hint="eastAsia"/>
                <w:color w:val="0000FF"/>
                <w:lang w:val="en-US" w:eastAsia="zh-CN"/>
              </w:rPr>
              <w:t>2024.06.24</w:t>
            </w:r>
          </w:p>
        </w:tc>
      </w:tr>
    </w:tbl>
    <w:p>
      <w:pPr>
        <w:ind w:firstLine="480"/>
      </w:pPr>
    </w:p>
    <w:p>
      <w:pPr>
        <w:widowControl/>
        <w:spacing w:line="240" w:lineRule="auto"/>
        <w:ind w:firstLine="0" w:firstLineChars="0"/>
        <w:jc w:val="left"/>
      </w:pPr>
      <w:r>
        <w:br w:type="page"/>
      </w:r>
    </w:p>
    <w:p>
      <w:pPr>
        <w:pStyle w:val="32"/>
        <w:tabs>
          <w:tab w:val="right" w:leader="dot" w:pos="9071"/>
        </w:tabs>
        <w:ind w:firstLine="480"/>
      </w:pPr>
      <w:r>
        <w:fldChar w:fldCharType="begin"/>
      </w:r>
      <w:r>
        <w:instrText xml:space="preserve">TOC \o "1-2" \h \u </w:instrText>
      </w:r>
      <w:r>
        <w:fldChar w:fldCharType="separate"/>
      </w:r>
      <w:r>
        <w:fldChar w:fldCharType="begin"/>
      </w:r>
      <w:r>
        <w:instrText xml:space="preserve"> HYPERLINK \l "_Toc28325" </w:instrText>
      </w:r>
      <w:r>
        <w:fldChar w:fldCharType="separate"/>
      </w:r>
      <w:r>
        <w:t>1</w:t>
      </w:r>
      <w:r>
        <w:rPr>
          <w:rFonts w:hint="eastAsia" w:ascii="宋体" w:hAnsi="宋体" w:eastAsia="黑体"/>
          <w:bCs/>
          <w:szCs w:val="44"/>
        </w:rPr>
        <w:t xml:space="preserve"> </w:t>
      </w:r>
      <w:r>
        <w:t>主题</w:t>
      </w:r>
      <w:r>
        <w:tab/>
      </w:r>
      <w:r>
        <w:fldChar w:fldCharType="end"/>
      </w:r>
    </w:p>
    <w:p>
      <w:pPr>
        <w:pStyle w:val="32"/>
        <w:tabs>
          <w:tab w:val="right" w:leader="dot" w:pos="9071"/>
        </w:tabs>
        <w:ind w:firstLine="480"/>
      </w:pPr>
      <w:r>
        <w:fldChar w:fldCharType="begin"/>
      </w:r>
      <w:r>
        <w:instrText xml:space="preserve"> HYPERLINK \l "_Toc9134" </w:instrText>
      </w:r>
      <w:r>
        <w:fldChar w:fldCharType="separate"/>
      </w:r>
      <w:r>
        <w:t>2</w:t>
      </w:r>
      <w:r>
        <w:rPr>
          <w:rFonts w:hint="eastAsia" w:ascii="宋体" w:hAnsi="宋体" w:eastAsia="黑体"/>
          <w:bCs/>
          <w:szCs w:val="44"/>
        </w:rPr>
        <w:t xml:space="preserve"> </w:t>
      </w:r>
      <w:r>
        <w:rPr>
          <w:rFonts w:hint="eastAsia"/>
        </w:rPr>
        <w:t>供货范围</w:t>
      </w:r>
      <w:r>
        <w:tab/>
      </w:r>
      <w:r>
        <w:fldChar w:fldCharType="end"/>
      </w:r>
    </w:p>
    <w:p>
      <w:pPr>
        <w:pStyle w:val="32"/>
        <w:tabs>
          <w:tab w:val="right" w:leader="dot" w:pos="9071"/>
        </w:tabs>
        <w:ind w:firstLine="480"/>
      </w:pPr>
      <w:r>
        <w:fldChar w:fldCharType="begin"/>
      </w:r>
      <w:r>
        <w:instrText xml:space="preserve"> HYPERLINK \l "_Toc17704" </w:instrText>
      </w:r>
      <w:r>
        <w:fldChar w:fldCharType="separate"/>
      </w:r>
      <w:r>
        <w:t>3</w:t>
      </w:r>
      <w:r>
        <w:rPr>
          <w:rFonts w:hint="eastAsia" w:ascii="宋体" w:hAnsi="宋体" w:eastAsia="黑体"/>
          <w:bCs/>
          <w:szCs w:val="44"/>
        </w:rPr>
        <w:t xml:space="preserve"> </w:t>
      </w:r>
      <w:r>
        <w:t>引用标准及相关文件</w:t>
      </w:r>
      <w:r>
        <w:tab/>
      </w:r>
      <w:r>
        <w:fldChar w:fldCharType="end"/>
      </w:r>
    </w:p>
    <w:p>
      <w:pPr>
        <w:pStyle w:val="32"/>
        <w:tabs>
          <w:tab w:val="right" w:leader="dot" w:pos="9071"/>
        </w:tabs>
        <w:ind w:firstLine="480"/>
      </w:pPr>
      <w:r>
        <w:fldChar w:fldCharType="begin"/>
      </w:r>
      <w:r>
        <w:instrText xml:space="preserve"> HYPERLINK \l "_Toc2346" </w:instrText>
      </w:r>
      <w:r>
        <w:fldChar w:fldCharType="separate"/>
      </w:r>
      <w:r>
        <w:t>4</w:t>
      </w:r>
      <w:r>
        <w:rPr>
          <w:rFonts w:hint="eastAsia" w:ascii="宋体" w:hAnsi="宋体" w:eastAsia="黑体"/>
          <w:bCs/>
          <w:szCs w:val="44"/>
        </w:rPr>
        <w:t xml:space="preserve"> </w:t>
      </w:r>
      <w:r>
        <w:t>K</w:t>
      </w:r>
      <w:r>
        <w:rPr>
          <w:rFonts w:hint="eastAsia"/>
        </w:rPr>
        <w:t>IO</w:t>
      </w:r>
      <w:r>
        <w:t>硬件参数</w:t>
      </w:r>
      <w:r>
        <w:tab/>
      </w:r>
      <w:r>
        <w:fldChar w:fldCharType="end"/>
      </w:r>
    </w:p>
    <w:p>
      <w:pPr>
        <w:pStyle w:val="39"/>
        <w:tabs>
          <w:tab w:val="right" w:leader="dot" w:pos="9071"/>
        </w:tabs>
        <w:ind w:left="480" w:firstLine="480"/>
      </w:pPr>
      <w:r>
        <w:fldChar w:fldCharType="begin"/>
      </w:r>
      <w:r>
        <w:instrText xml:space="preserve"> HYPERLINK \l "_Toc17729" </w:instrText>
      </w:r>
      <w:r>
        <w:fldChar w:fldCharType="separate"/>
      </w:r>
      <w:r>
        <w:t>4</w:t>
      </w:r>
      <w:r>
        <w:rPr>
          <w:rFonts w:hint="eastAsia" w:ascii="宋体" w:hAnsi="宋体" w:eastAsia="黑体"/>
          <w:szCs w:val="32"/>
        </w:rPr>
        <w:t xml:space="preserve">.1 </w:t>
      </w:r>
      <w:r>
        <w:t>应用环境条件</w:t>
      </w:r>
      <w:r>
        <w:tab/>
      </w:r>
      <w:r>
        <w:fldChar w:fldCharType="end"/>
      </w:r>
    </w:p>
    <w:p>
      <w:pPr>
        <w:pStyle w:val="39"/>
        <w:tabs>
          <w:tab w:val="right" w:leader="dot" w:pos="9071"/>
        </w:tabs>
        <w:ind w:left="480" w:firstLine="480"/>
      </w:pPr>
      <w:r>
        <w:fldChar w:fldCharType="begin"/>
      </w:r>
      <w:r>
        <w:instrText xml:space="preserve"> HYPERLINK \l "_Toc13400" </w:instrText>
      </w:r>
      <w:r>
        <w:fldChar w:fldCharType="separate"/>
      </w:r>
      <w:r>
        <w:t>4</w:t>
      </w:r>
      <w:r>
        <w:rPr>
          <w:rFonts w:hint="eastAsia" w:ascii="宋体" w:hAnsi="宋体" w:eastAsia="黑体"/>
          <w:szCs w:val="32"/>
        </w:rPr>
        <w:t xml:space="preserve">.2 </w:t>
      </w:r>
      <w:r>
        <w:t>硬件结构</w:t>
      </w:r>
      <w:r>
        <w:tab/>
      </w:r>
      <w:r>
        <w:fldChar w:fldCharType="end"/>
      </w:r>
    </w:p>
    <w:p>
      <w:pPr>
        <w:pStyle w:val="39"/>
        <w:tabs>
          <w:tab w:val="right" w:leader="dot" w:pos="9071"/>
        </w:tabs>
        <w:ind w:left="480" w:firstLine="480"/>
      </w:pPr>
      <w:r>
        <w:fldChar w:fldCharType="begin"/>
      </w:r>
      <w:r>
        <w:instrText xml:space="preserve"> HYPERLINK \l "_Toc2537" </w:instrText>
      </w:r>
      <w:r>
        <w:fldChar w:fldCharType="separate"/>
      </w:r>
      <w:r>
        <w:t>4</w:t>
      </w:r>
      <w:r>
        <w:rPr>
          <w:rFonts w:hint="eastAsia" w:ascii="宋体" w:hAnsi="宋体" w:eastAsia="黑体"/>
          <w:szCs w:val="32"/>
        </w:rPr>
        <w:t xml:space="preserve">.3 </w:t>
      </w:r>
      <w:r>
        <w:rPr>
          <w:rFonts w:hint="eastAsia"/>
        </w:rPr>
        <w:t>IO模块硬件需求</w:t>
      </w:r>
      <w:r>
        <w:tab/>
      </w:r>
      <w:r>
        <w:fldChar w:fldCharType="end"/>
      </w:r>
    </w:p>
    <w:p>
      <w:pPr>
        <w:pStyle w:val="32"/>
        <w:tabs>
          <w:tab w:val="right" w:leader="dot" w:pos="9071"/>
        </w:tabs>
        <w:ind w:firstLine="480"/>
      </w:pPr>
      <w:r>
        <w:fldChar w:fldCharType="begin"/>
      </w:r>
      <w:r>
        <w:instrText xml:space="preserve"> HYPERLINK \l "_Toc14826" </w:instrText>
      </w:r>
      <w:r>
        <w:fldChar w:fldCharType="separate"/>
      </w:r>
      <w:r>
        <w:t>5</w:t>
      </w:r>
      <w:r>
        <w:rPr>
          <w:rFonts w:hint="eastAsia" w:ascii="宋体" w:hAnsi="宋体" w:eastAsia="黑体"/>
          <w:bCs/>
          <w:szCs w:val="44"/>
        </w:rPr>
        <w:t xml:space="preserve"> </w:t>
      </w:r>
      <w:r>
        <w:t>电路设计原则</w:t>
      </w:r>
      <w:r>
        <w:tab/>
      </w:r>
      <w:r>
        <w:fldChar w:fldCharType="end"/>
      </w:r>
    </w:p>
    <w:p>
      <w:pPr>
        <w:pStyle w:val="39"/>
        <w:tabs>
          <w:tab w:val="right" w:leader="dot" w:pos="9071"/>
        </w:tabs>
        <w:ind w:left="480" w:firstLine="480"/>
      </w:pPr>
      <w:r>
        <w:fldChar w:fldCharType="begin"/>
      </w:r>
      <w:r>
        <w:instrText xml:space="preserve"> HYPERLINK \l "_Toc3135" </w:instrText>
      </w:r>
      <w:r>
        <w:fldChar w:fldCharType="separate"/>
      </w:r>
      <w:r>
        <w:t>5</w:t>
      </w:r>
      <w:r>
        <w:rPr>
          <w:rFonts w:hint="eastAsia" w:ascii="宋体" w:hAnsi="宋体" w:eastAsia="黑体"/>
          <w:szCs w:val="32"/>
        </w:rPr>
        <w:t xml:space="preserve">.1 </w:t>
      </w:r>
      <w:r>
        <w:t>电源</w:t>
      </w:r>
      <w:r>
        <w:tab/>
      </w:r>
      <w:r>
        <w:fldChar w:fldCharType="end"/>
      </w:r>
    </w:p>
    <w:p>
      <w:pPr>
        <w:pStyle w:val="39"/>
        <w:tabs>
          <w:tab w:val="right" w:leader="dot" w:pos="9071"/>
        </w:tabs>
        <w:ind w:left="480" w:firstLine="480"/>
      </w:pPr>
      <w:r>
        <w:fldChar w:fldCharType="begin"/>
      </w:r>
      <w:r>
        <w:instrText xml:space="preserve"> HYPERLINK \l "_Toc20707" </w:instrText>
      </w:r>
      <w:r>
        <w:fldChar w:fldCharType="separate"/>
      </w:r>
      <w:r>
        <w:t>5</w:t>
      </w:r>
      <w:r>
        <w:rPr>
          <w:rFonts w:hint="eastAsia" w:ascii="宋体" w:hAnsi="宋体" w:eastAsia="黑体"/>
          <w:szCs w:val="32"/>
        </w:rPr>
        <w:t xml:space="preserve">.2 </w:t>
      </w:r>
      <w:r>
        <w:t>数字量输入点规格</w:t>
      </w:r>
      <w:r>
        <w:tab/>
      </w:r>
      <w:r>
        <w:fldChar w:fldCharType="end"/>
      </w:r>
    </w:p>
    <w:p>
      <w:pPr>
        <w:pStyle w:val="39"/>
        <w:tabs>
          <w:tab w:val="right" w:leader="dot" w:pos="9071"/>
        </w:tabs>
        <w:ind w:left="480" w:firstLine="480"/>
      </w:pPr>
      <w:r>
        <w:fldChar w:fldCharType="begin"/>
      </w:r>
      <w:r>
        <w:instrText xml:space="preserve"> HYPERLINK \l "_Toc26616" </w:instrText>
      </w:r>
      <w:r>
        <w:fldChar w:fldCharType="separate"/>
      </w:r>
      <w:r>
        <w:t>5</w:t>
      </w:r>
      <w:r>
        <w:rPr>
          <w:rFonts w:hint="eastAsia" w:ascii="宋体" w:hAnsi="宋体" w:eastAsia="黑体"/>
          <w:szCs w:val="32"/>
        </w:rPr>
        <w:t xml:space="preserve">.3 </w:t>
      </w:r>
      <w:r>
        <w:t>数字量输出点规格</w:t>
      </w:r>
      <w:r>
        <w:tab/>
      </w:r>
      <w:r>
        <w:fldChar w:fldCharType="end"/>
      </w:r>
    </w:p>
    <w:p>
      <w:pPr>
        <w:pStyle w:val="39"/>
        <w:tabs>
          <w:tab w:val="right" w:leader="dot" w:pos="9071"/>
        </w:tabs>
        <w:ind w:left="480" w:firstLine="480"/>
      </w:pPr>
      <w:r>
        <w:fldChar w:fldCharType="begin"/>
      </w:r>
      <w:r>
        <w:instrText xml:space="preserve"> HYPERLINK \l "_Toc27625" </w:instrText>
      </w:r>
      <w:r>
        <w:fldChar w:fldCharType="separate"/>
      </w:r>
      <w:r>
        <w:t>5</w:t>
      </w:r>
      <w:r>
        <w:rPr>
          <w:rFonts w:hint="eastAsia" w:ascii="宋体" w:hAnsi="宋体" w:eastAsia="黑体"/>
          <w:szCs w:val="32"/>
        </w:rPr>
        <w:t xml:space="preserve">.4 </w:t>
      </w:r>
      <w:r>
        <w:t>模拟量输入规格</w:t>
      </w:r>
      <w:r>
        <w:tab/>
      </w:r>
      <w:r>
        <w:fldChar w:fldCharType="end"/>
      </w:r>
    </w:p>
    <w:p>
      <w:pPr>
        <w:pStyle w:val="39"/>
        <w:tabs>
          <w:tab w:val="right" w:leader="dot" w:pos="9071"/>
        </w:tabs>
        <w:ind w:left="480" w:firstLine="480"/>
      </w:pPr>
      <w:r>
        <w:fldChar w:fldCharType="begin"/>
      </w:r>
      <w:r>
        <w:instrText xml:space="preserve"> HYPERLINK \l "_Toc23546" </w:instrText>
      </w:r>
      <w:r>
        <w:fldChar w:fldCharType="separate"/>
      </w:r>
      <w:r>
        <w:t>5</w:t>
      </w:r>
      <w:r>
        <w:rPr>
          <w:rFonts w:hint="eastAsia" w:ascii="宋体" w:hAnsi="宋体" w:eastAsia="黑体"/>
          <w:szCs w:val="32"/>
        </w:rPr>
        <w:t xml:space="preserve">.5 </w:t>
      </w:r>
      <w:r>
        <w:rPr>
          <w:rFonts w:hint="eastAsia"/>
        </w:rPr>
        <w:t>存储器</w:t>
      </w:r>
      <w:r>
        <w:tab/>
      </w:r>
      <w:r>
        <w:fldChar w:fldCharType="end"/>
      </w:r>
    </w:p>
    <w:p>
      <w:pPr>
        <w:pStyle w:val="39"/>
        <w:tabs>
          <w:tab w:val="right" w:leader="dot" w:pos="9071"/>
        </w:tabs>
        <w:ind w:left="480" w:firstLine="480"/>
      </w:pPr>
      <w:r>
        <w:fldChar w:fldCharType="begin"/>
      </w:r>
      <w:r>
        <w:instrText xml:space="preserve"> HYPERLINK \l "_Toc20941" </w:instrText>
      </w:r>
      <w:r>
        <w:fldChar w:fldCharType="separate"/>
      </w:r>
      <w:r>
        <w:t>5</w:t>
      </w:r>
      <w:r>
        <w:rPr>
          <w:rFonts w:hint="eastAsia" w:ascii="宋体" w:hAnsi="宋体" w:eastAsia="黑体"/>
          <w:szCs w:val="32"/>
        </w:rPr>
        <w:t xml:space="preserve">.6 </w:t>
      </w:r>
      <w:r>
        <w:rPr>
          <w:rFonts w:hint="eastAsia"/>
        </w:rPr>
        <w:t>隔离</w:t>
      </w:r>
      <w:r>
        <w:t>SWD接口</w:t>
      </w:r>
      <w:r>
        <w:tab/>
      </w:r>
      <w:r>
        <w:fldChar w:fldCharType="end"/>
      </w:r>
    </w:p>
    <w:p>
      <w:pPr>
        <w:pStyle w:val="39"/>
        <w:tabs>
          <w:tab w:val="right" w:leader="dot" w:pos="9071"/>
        </w:tabs>
        <w:ind w:left="480" w:firstLine="480"/>
      </w:pPr>
      <w:r>
        <w:fldChar w:fldCharType="begin"/>
      </w:r>
      <w:r>
        <w:instrText xml:space="preserve"> HYPERLINK \l "_Toc12587" </w:instrText>
      </w:r>
      <w:r>
        <w:fldChar w:fldCharType="separate"/>
      </w:r>
      <w:r>
        <w:t>5</w:t>
      </w:r>
      <w:r>
        <w:rPr>
          <w:rFonts w:hint="eastAsia" w:ascii="宋体" w:hAnsi="宋体" w:eastAsia="黑体"/>
          <w:szCs w:val="32"/>
        </w:rPr>
        <w:t xml:space="preserve">.7 </w:t>
      </w:r>
      <w:r>
        <w:t>RS485</w:t>
      </w:r>
      <w:r>
        <w:tab/>
      </w:r>
      <w:r>
        <w:fldChar w:fldCharType="end"/>
      </w:r>
    </w:p>
    <w:p>
      <w:pPr>
        <w:pStyle w:val="39"/>
        <w:tabs>
          <w:tab w:val="right" w:leader="dot" w:pos="9071"/>
        </w:tabs>
        <w:ind w:left="480" w:firstLine="480"/>
      </w:pPr>
      <w:r>
        <w:fldChar w:fldCharType="begin"/>
      </w:r>
      <w:r>
        <w:instrText xml:space="preserve"> HYPERLINK \l "_Toc22457" </w:instrText>
      </w:r>
      <w:r>
        <w:fldChar w:fldCharType="separate"/>
      </w:r>
      <w:r>
        <w:t>5</w:t>
      </w:r>
      <w:r>
        <w:rPr>
          <w:rFonts w:hint="eastAsia" w:ascii="宋体" w:hAnsi="宋体" w:eastAsia="黑体"/>
          <w:szCs w:val="32"/>
        </w:rPr>
        <w:t xml:space="preserve">.8 </w:t>
      </w:r>
      <w:r>
        <w:rPr>
          <w:rFonts w:hint="eastAsia"/>
        </w:rPr>
        <w:t>CAN接口</w:t>
      </w:r>
      <w:r>
        <w:tab/>
      </w:r>
      <w:r>
        <w:fldChar w:fldCharType="end"/>
      </w:r>
    </w:p>
    <w:p>
      <w:pPr>
        <w:pStyle w:val="39"/>
        <w:tabs>
          <w:tab w:val="right" w:leader="dot" w:pos="9071"/>
        </w:tabs>
        <w:ind w:left="480" w:firstLine="480"/>
      </w:pPr>
      <w:r>
        <w:fldChar w:fldCharType="begin"/>
      </w:r>
      <w:r>
        <w:instrText xml:space="preserve"> HYPERLINK \l "_Toc16520" </w:instrText>
      </w:r>
      <w:r>
        <w:fldChar w:fldCharType="separate"/>
      </w:r>
      <w:r>
        <w:t>5</w:t>
      </w:r>
      <w:r>
        <w:rPr>
          <w:rFonts w:hint="eastAsia" w:ascii="宋体" w:hAnsi="宋体" w:eastAsia="黑体"/>
          <w:szCs w:val="32"/>
        </w:rPr>
        <w:t xml:space="preserve">.9 </w:t>
      </w:r>
      <w:r>
        <w:rPr>
          <w:rFonts w:hint="eastAsia"/>
        </w:rPr>
        <w:t>电子膨胀阀接口</w:t>
      </w:r>
      <w:r>
        <w:tab/>
      </w:r>
      <w:r>
        <w:fldChar w:fldCharType="end"/>
      </w:r>
    </w:p>
    <w:p>
      <w:pPr>
        <w:pStyle w:val="32"/>
        <w:tabs>
          <w:tab w:val="right" w:leader="dot" w:pos="9071"/>
        </w:tabs>
        <w:ind w:firstLine="480"/>
      </w:pPr>
      <w:r>
        <w:fldChar w:fldCharType="begin"/>
      </w:r>
      <w:r>
        <w:instrText xml:space="preserve"> HYPERLINK \l "_Toc12644" </w:instrText>
      </w:r>
      <w:r>
        <w:fldChar w:fldCharType="separate"/>
      </w:r>
      <w:r>
        <w:t>6</w:t>
      </w:r>
      <w:r>
        <w:rPr>
          <w:rFonts w:hint="eastAsia" w:ascii="宋体" w:hAnsi="宋体" w:eastAsia="黑体"/>
          <w:bCs/>
          <w:szCs w:val="44"/>
        </w:rPr>
        <w:t xml:space="preserve"> </w:t>
      </w:r>
      <w:r>
        <w:rPr>
          <w:rFonts w:hint="eastAsia"/>
        </w:rPr>
        <w:t>KIO软件参数</w:t>
      </w:r>
      <w:r>
        <w:tab/>
      </w:r>
      <w:r>
        <w:fldChar w:fldCharType="end"/>
      </w:r>
    </w:p>
    <w:p>
      <w:pPr>
        <w:pStyle w:val="32"/>
        <w:tabs>
          <w:tab w:val="right" w:leader="dot" w:pos="9071"/>
        </w:tabs>
        <w:ind w:firstLine="480"/>
      </w:pPr>
      <w:r>
        <w:fldChar w:fldCharType="begin"/>
      </w:r>
      <w:r>
        <w:instrText xml:space="preserve"> HYPERLINK \l "_Toc23276" </w:instrText>
      </w:r>
      <w:r>
        <w:fldChar w:fldCharType="separate"/>
      </w:r>
      <w:r>
        <w:t>7</w:t>
      </w:r>
      <w:r>
        <w:rPr>
          <w:rFonts w:hint="eastAsia" w:ascii="宋体" w:hAnsi="宋体" w:eastAsia="黑体"/>
          <w:bCs/>
          <w:szCs w:val="44"/>
        </w:rPr>
        <w:t xml:space="preserve"> </w:t>
      </w:r>
      <w:r>
        <w:t>试验要求</w:t>
      </w:r>
      <w:r>
        <w:tab/>
      </w:r>
      <w:r>
        <w:fldChar w:fldCharType="end"/>
      </w:r>
    </w:p>
    <w:p>
      <w:pPr>
        <w:pStyle w:val="39"/>
        <w:tabs>
          <w:tab w:val="right" w:leader="dot" w:pos="9071"/>
        </w:tabs>
        <w:ind w:left="480" w:firstLine="480"/>
      </w:pPr>
      <w:r>
        <w:fldChar w:fldCharType="begin"/>
      </w:r>
      <w:r>
        <w:instrText xml:space="preserve"> HYPERLINK \l "_Toc12336" </w:instrText>
      </w:r>
      <w:r>
        <w:fldChar w:fldCharType="separate"/>
      </w:r>
      <w:r>
        <w:t>7</w:t>
      </w:r>
      <w:r>
        <w:rPr>
          <w:rFonts w:hint="eastAsia" w:ascii="宋体" w:hAnsi="宋体" w:eastAsia="黑体"/>
          <w:szCs w:val="32"/>
        </w:rPr>
        <w:t xml:space="preserve">.1 </w:t>
      </w:r>
      <w:r>
        <w:t>供应商应编制试验大纲，由国祥批准。</w:t>
      </w:r>
      <w:r>
        <w:tab/>
      </w:r>
      <w:r>
        <w:fldChar w:fldCharType="end"/>
      </w:r>
    </w:p>
    <w:p>
      <w:pPr>
        <w:pStyle w:val="32"/>
        <w:tabs>
          <w:tab w:val="right" w:leader="dot" w:pos="9071"/>
        </w:tabs>
        <w:ind w:firstLine="480"/>
      </w:pPr>
      <w:r>
        <w:fldChar w:fldCharType="begin"/>
      </w:r>
      <w:r>
        <w:instrText xml:space="preserve"> HYPERLINK \l "_Toc10302" </w:instrText>
      </w:r>
      <w:r>
        <w:fldChar w:fldCharType="separate"/>
      </w:r>
      <w:r>
        <w:t>8</w:t>
      </w:r>
      <w:r>
        <w:rPr>
          <w:rFonts w:hint="eastAsia" w:ascii="宋体" w:hAnsi="宋体" w:eastAsia="黑体"/>
          <w:bCs/>
          <w:szCs w:val="44"/>
        </w:rPr>
        <w:t xml:space="preserve"> </w:t>
      </w:r>
      <w:r>
        <w:t>供应商的工作</w:t>
      </w:r>
      <w:r>
        <w:tab/>
      </w:r>
      <w:r>
        <w:fldChar w:fldCharType="end"/>
      </w:r>
    </w:p>
    <w:p>
      <w:pPr>
        <w:pStyle w:val="39"/>
        <w:tabs>
          <w:tab w:val="right" w:leader="dot" w:pos="9071"/>
        </w:tabs>
        <w:ind w:left="480" w:firstLine="480"/>
      </w:pPr>
      <w:r>
        <w:fldChar w:fldCharType="begin"/>
      </w:r>
      <w:r>
        <w:instrText xml:space="preserve"> HYPERLINK \l "_Toc20533" </w:instrText>
      </w:r>
      <w:r>
        <w:fldChar w:fldCharType="separate"/>
      </w:r>
      <w:r>
        <w:t>8</w:t>
      </w:r>
      <w:r>
        <w:rPr>
          <w:rFonts w:hint="eastAsia" w:ascii="宋体" w:hAnsi="宋体" w:eastAsia="黑体"/>
          <w:szCs w:val="32"/>
        </w:rPr>
        <w:t xml:space="preserve">.1 </w:t>
      </w:r>
      <w:r>
        <w:t>根据国祥提供的技术条件进行试制。</w:t>
      </w:r>
      <w:r>
        <w:tab/>
      </w:r>
      <w:r>
        <w:fldChar w:fldCharType="end"/>
      </w:r>
    </w:p>
    <w:p>
      <w:pPr>
        <w:pStyle w:val="39"/>
        <w:tabs>
          <w:tab w:val="right" w:leader="dot" w:pos="9071"/>
        </w:tabs>
        <w:ind w:left="480" w:firstLine="480"/>
      </w:pPr>
      <w:r>
        <w:fldChar w:fldCharType="begin"/>
      </w:r>
      <w:r>
        <w:instrText xml:space="preserve"> HYPERLINK \l "_Toc220" </w:instrText>
      </w:r>
      <w:r>
        <w:fldChar w:fldCharType="separate"/>
      </w:r>
      <w:r>
        <w:t>8</w:t>
      </w:r>
      <w:r>
        <w:rPr>
          <w:rFonts w:hint="eastAsia" w:ascii="宋体" w:hAnsi="宋体" w:eastAsia="黑体"/>
          <w:szCs w:val="32"/>
        </w:rPr>
        <w:t xml:space="preserve">.2 </w:t>
      </w:r>
      <w:r>
        <w:t>编制型式试验和例行试验大纲。</w:t>
      </w:r>
      <w:r>
        <w:tab/>
      </w:r>
      <w:r>
        <w:fldChar w:fldCharType="end"/>
      </w:r>
    </w:p>
    <w:p>
      <w:pPr>
        <w:pStyle w:val="39"/>
        <w:tabs>
          <w:tab w:val="right" w:leader="dot" w:pos="9071"/>
        </w:tabs>
        <w:ind w:left="480" w:firstLine="480"/>
      </w:pPr>
      <w:r>
        <w:fldChar w:fldCharType="begin"/>
      </w:r>
      <w:r>
        <w:instrText xml:space="preserve"> HYPERLINK \l "_Toc10867" </w:instrText>
      </w:r>
      <w:r>
        <w:fldChar w:fldCharType="separate"/>
      </w:r>
      <w:r>
        <w:t>8</w:t>
      </w:r>
      <w:r>
        <w:rPr>
          <w:rFonts w:hint="eastAsia" w:ascii="宋体" w:hAnsi="宋体" w:eastAsia="黑体"/>
          <w:szCs w:val="32"/>
        </w:rPr>
        <w:t xml:space="preserve">.3 </w:t>
      </w:r>
      <w:r>
        <w:t>提交材料证明报告</w:t>
      </w:r>
      <w:r>
        <w:tab/>
      </w:r>
      <w:r>
        <w:fldChar w:fldCharType="end"/>
      </w:r>
    </w:p>
    <w:p>
      <w:pPr>
        <w:pStyle w:val="39"/>
        <w:tabs>
          <w:tab w:val="right" w:leader="dot" w:pos="9071"/>
        </w:tabs>
        <w:ind w:left="480" w:firstLine="480"/>
      </w:pPr>
      <w:r>
        <w:fldChar w:fldCharType="begin"/>
      </w:r>
      <w:r>
        <w:instrText xml:space="preserve"> HYPERLINK \l "_Toc7030" </w:instrText>
      </w:r>
      <w:r>
        <w:fldChar w:fldCharType="separate"/>
      </w:r>
      <w:r>
        <w:t>8</w:t>
      </w:r>
      <w:r>
        <w:rPr>
          <w:rFonts w:hint="eastAsia" w:ascii="宋体" w:hAnsi="宋体" w:eastAsia="黑体"/>
          <w:szCs w:val="32"/>
        </w:rPr>
        <w:t xml:space="preserve">.4 </w:t>
      </w:r>
      <w:r>
        <w:t>供货试装车，配合运行考核及负责可能的整改。</w:t>
      </w:r>
      <w:r>
        <w:tab/>
      </w:r>
      <w:r>
        <w:fldChar w:fldCharType="end"/>
      </w:r>
    </w:p>
    <w:p>
      <w:pPr>
        <w:pStyle w:val="32"/>
        <w:tabs>
          <w:tab w:val="right" w:leader="dot" w:pos="9071"/>
        </w:tabs>
        <w:ind w:firstLine="480"/>
      </w:pPr>
      <w:r>
        <w:fldChar w:fldCharType="begin"/>
      </w:r>
      <w:r>
        <w:instrText xml:space="preserve"> HYPERLINK \l "_Toc24006" </w:instrText>
      </w:r>
      <w:r>
        <w:fldChar w:fldCharType="separate"/>
      </w:r>
      <w:r>
        <w:t>9</w:t>
      </w:r>
      <w:r>
        <w:rPr>
          <w:rFonts w:hint="eastAsia" w:ascii="宋体" w:hAnsi="宋体" w:eastAsia="黑体"/>
          <w:bCs/>
          <w:szCs w:val="44"/>
        </w:rPr>
        <w:t xml:space="preserve"> </w:t>
      </w:r>
      <w:r>
        <w:t>技术资料及随机提供物品</w:t>
      </w:r>
      <w:r>
        <w:tab/>
      </w:r>
      <w:r>
        <w:fldChar w:fldCharType="end"/>
      </w:r>
    </w:p>
    <w:p>
      <w:pPr>
        <w:pStyle w:val="39"/>
        <w:tabs>
          <w:tab w:val="right" w:leader="dot" w:pos="9071"/>
        </w:tabs>
        <w:ind w:left="480" w:firstLine="480"/>
      </w:pPr>
      <w:r>
        <w:fldChar w:fldCharType="begin"/>
      </w:r>
      <w:r>
        <w:instrText xml:space="preserve"> HYPERLINK \l "_Toc31421" </w:instrText>
      </w:r>
      <w:r>
        <w:fldChar w:fldCharType="separate"/>
      </w:r>
      <w:r>
        <w:t>9</w:t>
      </w:r>
      <w:r>
        <w:rPr>
          <w:rFonts w:hint="eastAsia" w:ascii="宋体" w:hAnsi="宋体" w:eastAsia="黑体"/>
          <w:szCs w:val="32"/>
        </w:rPr>
        <w:t xml:space="preserve">.1 </w:t>
      </w:r>
      <w:r>
        <w:t>技术文件</w:t>
      </w:r>
      <w:r>
        <w:tab/>
      </w:r>
      <w:r>
        <w:fldChar w:fldCharType="end"/>
      </w:r>
    </w:p>
    <w:p>
      <w:pPr>
        <w:pStyle w:val="39"/>
        <w:tabs>
          <w:tab w:val="right" w:leader="dot" w:pos="9071"/>
        </w:tabs>
        <w:ind w:left="480" w:firstLine="480"/>
      </w:pPr>
      <w:r>
        <w:fldChar w:fldCharType="begin"/>
      </w:r>
      <w:r>
        <w:instrText xml:space="preserve"> HYPERLINK \l "_Toc19540" </w:instrText>
      </w:r>
      <w:r>
        <w:fldChar w:fldCharType="separate"/>
      </w:r>
      <w:r>
        <w:t>9</w:t>
      </w:r>
      <w:r>
        <w:rPr>
          <w:rFonts w:hint="eastAsia" w:ascii="宋体" w:hAnsi="宋体" w:eastAsia="黑体"/>
          <w:szCs w:val="32"/>
        </w:rPr>
        <w:t xml:space="preserve">.2 </w:t>
      </w:r>
      <w:r>
        <w:t>合格证</w:t>
      </w:r>
      <w:r>
        <w:tab/>
      </w:r>
      <w:r>
        <w:fldChar w:fldCharType="end"/>
      </w:r>
    </w:p>
    <w:p>
      <w:pPr>
        <w:pStyle w:val="32"/>
        <w:tabs>
          <w:tab w:val="right" w:leader="dot" w:pos="9071"/>
        </w:tabs>
        <w:ind w:firstLine="480"/>
      </w:pPr>
      <w:r>
        <w:fldChar w:fldCharType="begin"/>
      </w:r>
      <w:r>
        <w:instrText xml:space="preserve"> HYPERLINK \l "_Toc8591" </w:instrText>
      </w:r>
      <w:r>
        <w:fldChar w:fldCharType="separate"/>
      </w:r>
      <w:r>
        <w:t>1</w:t>
      </w:r>
      <w:r>
        <w:rPr>
          <w:rFonts w:hint="eastAsia" w:ascii="宋体" w:hAnsi="宋体" w:eastAsia="黑体"/>
          <w:bCs/>
          <w:szCs w:val="44"/>
        </w:rPr>
        <w:t xml:space="preserve">0 </w:t>
      </w:r>
      <w:r>
        <w:t>包装及贮存</w:t>
      </w:r>
      <w:r>
        <w:tab/>
      </w:r>
      <w:r>
        <w:fldChar w:fldCharType="end"/>
      </w:r>
    </w:p>
    <w:p>
      <w:pPr>
        <w:pStyle w:val="32"/>
        <w:tabs>
          <w:tab w:val="right" w:leader="dot" w:pos="9071"/>
        </w:tabs>
        <w:ind w:firstLine="480"/>
      </w:pPr>
      <w:r>
        <w:fldChar w:fldCharType="begin"/>
      </w:r>
      <w:r>
        <w:instrText xml:space="preserve"> HYPERLINK \l "_Toc14728" </w:instrText>
      </w:r>
      <w:r>
        <w:fldChar w:fldCharType="separate"/>
      </w:r>
      <w:r>
        <w:t>1</w:t>
      </w:r>
      <w:r>
        <w:rPr>
          <w:rFonts w:hint="eastAsia" w:ascii="宋体" w:hAnsi="宋体" w:eastAsia="黑体"/>
          <w:bCs/>
          <w:szCs w:val="44"/>
        </w:rPr>
        <w:t xml:space="preserve">1 </w:t>
      </w:r>
      <w:r>
        <w:t>其它事项</w:t>
      </w:r>
      <w:r>
        <w:tab/>
      </w:r>
      <w:r>
        <w:fldChar w:fldCharType="end"/>
      </w:r>
    </w:p>
    <w:p>
      <w:pPr>
        <w:pStyle w:val="32"/>
        <w:tabs>
          <w:tab w:val="right" w:leader="dot" w:pos="9071"/>
        </w:tabs>
        <w:ind w:firstLine="480"/>
      </w:pPr>
      <w:r>
        <w:fldChar w:fldCharType="begin"/>
      </w:r>
      <w:r>
        <w:instrText xml:space="preserve"> HYPERLINK \l "_Toc2446" </w:instrText>
      </w:r>
      <w:r>
        <w:fldChar w:fldCharType="separate"/>
      </w:r>
      <w:r>
        <w:rPr>
          <w:rFonts w:hint="eastAsia"/>
        </w:rPr>
        <w:t>附录1：NTC10K温度传感器阻值对应表</w:t>
      </w:r>
      <w:r>
        <w:tab/>
      </w:r>
      <w:r>
        <w:fldChar w:fldCharType="end"/>
      </w:r>
    </w:p>
    <w:p>
      <w:pPr>
        <w:pStyle w:val="32"/>
        <w:tabs>
          <w:tab w:val="right" w:leader="dot" w:pos="9071"/>
        </w:tabs>
        <w:ind w:firstLine="480"/>
      </w:pPr>
      <w:r>
        <w:fldChar w:fldCharType="begin"/>
      </w:r>
      <w:r>
        <w:instrText xml:space="preserve"> HYPERLINK \l "_Toc29918" </w:instrText>
      </w:r>
      <w:r>
        <w:fldChar w:fldCharType="separate"/>
      </w:r>
      <w:r>
        <w:rPr>
          <w:rFonts w:hint="eastAsia"/>
        </w:rPr>
        <w:t>附录2：技术要求</w:t>
      </w:r>
      <w:r>
        <w:tab/>
      </w:r>
      <w:r>
        <w:fldChar w:fldCharType="end"/>
      </w:r>
    </w:p>
    <w:p>
      <w:pPr>
        <w:pStyle w:val="32"/>
        <w:tabs>
          <w:tab w:val="right" w:leader="dot" w:pos="9071"/>
        </w:tabs>
        <w:ind w:firstLine="480"/>
      </w:pPr>
      <w:r>
        <w:fldChar w:fldCharType="begin"/>
      </w:r>
      <w:r>
        <w:instrText xml:space="preserve"> HYPERLINK \l "_Toc30518" </w:instrText>
      </w:r>
      <w:r>
        <w:fldChar w:fldCharType="separate"/>
      </w:r>
      <w:r>
        <w:rPr>
          <w:rFonts w:hint="eastAsia"/>
        </w:rPr>
        <w:t>附录3：外形尺寸图</w:t>
      </w:r>
      <w:r>
        <w:tab/>
      </w:r>
      <w:r>
        <w:fldChar w:fldCharType="end"/>
      </w:r>
    </w:p>
    <w:p>
      <w:pPr>
        <w:pStyle w:val="32"/>
        <w:tabs>
          <w:tab w:val="right" w:leader="dot" w:pos="9071"/>
        </w:tabs>
        <w:ind w:firstLine="480"/>
      </w:pPr>
      <w:r>
        <w:fldChar w:fldCharType="begin"/>
      </w:r>
      <w:r>
        <w:instrText xml:space="preserve"> HYPERLINK \l "_Toc24583" </w:instrText>
      </w:r>
      <w:r>
        <w:fldChar w:fldCharType="separate"/>
      </w:r>
      <w:r>
        <w:rPr>
          <w:rFonts w:hint="eastAsia"/>
        </w:rPr>
        <w:t>附录4：端子定义</w:t>
      </w:r>
      <w:r>
        <w:tab/>
      </w:r>
      <w:r>
        <w:fldChar w:fldCharType="end"/>
      </w:r>
    </w:p>
    <w:p>
      <w:pPr>
        <w:widowControl/>
        <w:spacing w:line="240" w:lineRule="auto"/>
        <w:ind w:firstLine="0" w:firstLineChars="0"/>
        <w:jc w:val="left"/>
      </w:pPr>
      <w:r>
        <w:fldChar w:fldCharType="end"/>
      </w:r>
    </w:p>
    <w:p>
      <w:pPr>
        <w:widowControl/>
        <w:spacing w:line="240" w:lineRule="auto"/>
        <w:ind w:firstLine="0" w:firstLineChars="0"/>
        <w:jc w:val="left"/>
      </w:pPr>
    </w:p>
    <w:p>
      <w:pPr>
        <w:pStyle w:val="2"/>
        <w:spacing w:before="240" w:after="120"/>
      </w:pPr>
      <w:bookmarkStart w:id="81" w:name="_Toc28325"/>
      <w:r>
        <w:t>主题</w:t>
      </w:r>
      <w:bookmarkEnd w:id="81"/>
    </w:p>
    <w:p>
      <w:pPr>
        <w:ind w:firstLine="480"/>
      </w:pPr>
      <w:r>
        <w:t>本技术条件规定</w:t>
      </w:r>
      <w:r>
        <w:rPr>
          <w:rFonts w:hint="eastAsia"/>
        </w:rPr>
        <w:t>了IO模块KIO</w:t>
      </w:r>
      <w:r>
        <w:t>0</w:t>
      </w:r>
      <w:r>
        <w:rPr>
          <w:rFonts w:hint="eastAsia"/>
        </w:rPr>
        <w:t>3-</w:t>
      </w:r>
      <w:r>
        <w:t>01（以下简称KIO）的技术、试验等要求</w:t>
      </w:r>
      <w:r>
        <w:rPr>
          <w:rFonts w:hint="eastAsia"/>
        </w:rPr>
        <w:t>，</w:t>
      </w:r>
      <w:r>
        <w:t>适用于KIO0</w:t>
      </w:r>
      <w:r>
        <w:rPr>
          <w:rFonts w:hint="eastAsia"/>
        </w:rPr>
        <w:t>3</w:t>
      </w:r>
      <w:r>
        <w:t>-01</w:t>
      </w:r>
      <w:r>
        <w:rPr>
          <w:rFonts w:hint="eastAsia"/>
        </w:rPr>
        <w:t>型</w:t>
      </w:r>
      <w:r>
        <w:t>控制器的订货和检查验收。</w:t>
      </w:r>
    </w:p>
    <w:p>
      <w:pPr>
        <w:ind w:firstLine="480"/>
      </w:pPr>
      <w:r>
        <w:rPr>
          <w:rFonts w:hint="eastAsia"/>
        </w:rPr>
        <w:t>供货清单：</w:t>
      </w:r>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r>
        <w:rPr>
          <w:rFonts w:hint="eastAsia"/>
        </w:rPr>
        <w:t xml:space="preserve"> 适用产品范围</w:t>
      </w:r>
    </w:p>
    <w:tbl>
      <w:tblPr>
        <w:tblStyle w:val="61"/>
        <w:tblW w:w="85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1"/>
        <w:gridCol w:w="2413"/>
        <w:gridCol w:w="198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序号</w:t>
            </w:r>
          </w:p>
        </w:tc>
        <w:tc>
          <w:tcPr>
            <w:tcW w:w="170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物料名称</w:t>
            </w:r>
          </w:p>
        </w:tc>
        <w:tc>
          <w:tcPr>
            <w:tcW w:w="2413"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型号</w:t>
            </w:r>
          </w:p>
        </w:tc>
        <w:tc>
          <w:tcPr>
            <w:tcW w:w="1985"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物料代码</w:t>
            </w:r>
          </w:p>
        </w:tc>
        <w:tc>
          <w:tcPr>
            <w:tcW w:w="1697"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Pr>
          <w:p>
            <w:pPr>
              <w:pStyle w:val="203"/>
              <w:keepNext w:val="0"/>
              <w:keepLines w:val="0"/>
              <w:numPr>
                <w:ilvl w:val="0"/>
                <w:numId w:val="11"/>
              </w:numPr>
              <w:suppressLineNumbers w:val="0"/>
              <w:spacing w:before="0" w:beforeAutospacing="0" w:after="0" w:afterAutospacing="0"/>
              <w:ind w:right="0" w:firstLineChars="0"/>
              <w:jc w:val="center"/>
              <w:rPr>
                <w:rFonts w:hint="default"/>
              </w:rPr>
            </w:pPr>
          </w:p>
        </w:tc>
        <w:tc>
          <w:tcPr>
            <w:tcW w:w="170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IO模块</w:t>
            </w:r>
          </w:p>
        </w:tc>
        <w:tc>
          <w:tcPr>
            <w:tcW w:w="2413"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K</w:t>
            </w:r>
            <w:r>
              <w:rPr>
                <w:rFonts w:hint="eastAsia"/>
                <w:szCs w:val="20"/>
              </w:rPr>
              <w:t>IO03-01</w:t>
            </w:r>
          </w:p>
        </w:tc>
        <w:tc>
          <w:tcPr>
            <w:tcW w:w="1985"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2.02.2</w:t>
            </w:r>
            <w:r>
              <w:rPr>
                <w:rFonts w:hint="eastAsia"/>
                <w:szCs w:val="20"/>
              </w:rPr>
              <w:t>4</w:t>
            </w:r>
            <w:r>
              <w:rPr>
                <w:rFonts w:hint="default"/>
                <w:szCs w:val="20"/>
              </w:rPr>
              <w:t>.0</w:t>
            </w:r>
            <w:r>
              <w:rPr>
                <w:rFonts w:hint="eastAsia"/>
                <w:szCs w:val="20"/>
              </w:rPr>
              <w:t>460</w:t>
            </w:r>
          </w:p>
        </w:tc>
        <w:tc>
          <w:tcPr>
            <w:tcW w:w="1697"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P97K00</w:t>
            </w:r>
            <w:r>
              <w:rPr>
                <w:rFonts w:hint="eastAsia"/>
                <w:szCs w:val="20"/>
              </w:rPr>
              <w:t>81</w:t>
            </w:r>
          </w:p>
        </w:tc>
      </w:tr>
    </w:tbl>
    <w:p>
      <w:pPr>
        <w:pStyle w:val="2"/>
        <w:spacing w:before="240" w:after="120"/>
      </w:pPr>
      <w:bookmarkStart w:id="82" w:name="_Toc9134"/>
      <w:r>
        <w:rPr>
          <w:rFonts w:hint="eastAsia"/>
        </w:rPr>
        <w:t>供货范围</w:t>
      </w:r>
      <w:bookmarkEnd w:id="82"/>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w:t>
      </w:r>
      <w:r>
        <w:fldChar w:fldCharType="end"/>
      </w:r>
      <w:r>
        <w:rPr>
          <w:rFonts w:hint="eastAsia"/>
        </w:rPr>
        <w:t xml:space="preserve"> KPCIO03-01（2.02.24.0460)型IO模块供货范围</w:t>
      </w:r>
    </w:p>
    <w:tbl>
      <w:tblPr>
        <w:tblStyle w:val="61"/>
        <w:tblW w:w="850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7"/>
        <w:gridCol w:w="3402"/>
        <w:gridCol w:w="851"/>
        <w:gridCol w:w="85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序号</w:t>
            </w:r>
          </w:p>
        </w:tc>
        <w:tc>
          <w:tcPr>
            <w:tcW w:w="1417"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名称</w:t>
            </w:r>
          </w:p>
        </w:tc>
        <w:tc>
          <w:tcPr>
            <w:tcW w:w="3402"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规格型号</w:t>
            </w:r>
          </w:p>
        </w:tc>
        <w:tc>
          <w:tcPr>
            <w:tcW w:w="85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芯数</w:t>
            </w:r>
          </w:p>
        </w:tc>
        <w:tc>
          <w:tcPr>
            <w:tcW w:w="850" w:type="dxa"/>
          </w:tcPr>
          <w:p>
            <w:pPr>
              <w:keepNext w:val="0"/>
              <w:keepLines w:val="0"/>
              <w:suppressLineNumbers w:val="0"/>
              <w:spacing w:before="0" w:beforeAutospacing="0" w:after="0" w:afterAutospacing="0"/>
              <w:ind w:left="0" w:right="0" w:firstLine="0" w:firstLineChars="0"/>
              <w:rPr>
                <w:rFonts w:hint="default"/>
                <w:szCs w:val="20"/>
              </w:rPr>
            </w:pPr>
            <w:r>
              <w:rPr>
                <w:rFonts w:hint="default"/>
                <w:szCs w:val="20"/>
              </w:rPr>
              <w:t>数量</w:t>
            </w:r>
          </w:p>
        </w:tc>
        <w:tc>
          <w:tcPr>
            <w:tcW w:w="1276"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1417"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IO模块</w:t>
            </w:r>
          </w:p>
        </w:tc>
        <w:tc>
          <w:tcPr>
            <w:tcW w:w="3402"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KIO03-01</w:t>
            </w:r>
          </w:p>
        </w:tc>
        <w:tc>
          <w:tcPr>
            <w:tcW w:w="85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w:t>
            </w:r>
          </w:p>
        </w:tc>
        <w:tc>
          <w:tcPr>
            <w:tcW w:w="850"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09" w:type="dxa"/>
            <w:vMerge w:val="restart"/>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p>
        </w:tc>
        <w:tc>
          <w:tcPr>
            <w:tcW w:w="1417" w:type="dxa"/>
            <w:vMerge w:val="restart"/>
            <w:vAlign w:val="center"/>
          </w:tcPr>
          <w:p>
            <w:pPr>
              <w:keepNext w:val="0"/>
              <w:keepLines w:val="0"/>
              <w:suppressLineNumbers w:val="0"/>
              <w:spacing w:before="0" w:beforeAutospacing="0" w:after="0" w:afterAutospacing="0"/>
              <w:ind w:left="0" w:right="0" w:firstLine="0" w:firstLineChars="0"/>
              <w:jc w:val="center"/>
              <w:rPr>
                <w:rFonts w:hint="default"/>
                <w:szCs w:val="20"/>
              </w:rPr>
            </w:pPr>
            <w:r>
              <w:rPr>
                <w:rFonts w:hint="default"/>
                <w:szCs w:val="20"/>
              </w:rPr>
              <w:t>配套连接器插头</w:t>
            </w:r>
          </w:p>
        </w:tc>
        <w:tc>
          <w:tcPr>
            <w:tcW w:w="3402"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73040-4FC034APS4WA3W线端 PBT BK34P 防呆 上2下2， WCON</w:t>
            </w:r>
          </w:p>
        </w:tc>
        <w:tc>
          <w:tcPr>
            <w:tcW w:w="85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3</w:t>
            </w:r>
            <w:r>
              <w:rPr>
                <w:rFonts w:hint="default"/>
                <w:szCs w:val="20"/>
              </w:rPr>
              <w:t>4</w:t>
            </w:r>
            <w:r>
              <w:rPr>
                <w:rFonts w:hint="eastAsia"/>
                <w:szCs w:val="20"/>
              </w:rPr>
              <w:t>P</w:t>
            </w:r>
          </w:p>
        </w:tc>
        <w:tc>
          <w:tcPr>
            <w:tcW w:w="850"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73040-4FC034APS4WA4X 线端 PBT BK34P 防呆 上2下1， WCON</w:t>
            </w:r>
          </w:p>
        </w:tc>
        <w:tc>
          <w:tcPr>
            <w:tcW w:w="85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3</w:t>
            </w:r>
            <w:r>
              <w:rPr>
                <w:rFonts w:hint="default"/>
                <w:szCs w:val="20"/>
              </w:rPr>
              <w:t>4</w:t>
            </w:r>
            <w:r>
              <w:rPr>
                <w:rFonts w:hint="eastAsia"/>
                <w:szCs w:val="20"/>
              </w:rPr>
              <w:t>P</w:t>
            </w:r>
          </w:p>
        </w:tc>
        <w:tc>
          <w:tcPr>
            <w:tcW w:w="850"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73040-4FC026APS4WA3W线端 PBT BK26P 防呆 上2下2， WCON</w:t>
            </w:r>
          </w:p>
        </w:tc>
        <w:tc>
          <w:tcPr>
            <w:tcW w:w="85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r>
              <w:rPr>
                <w:rFonts w:hint="default"/>
                <w:szCs w:val="20"/>
              </w:rPr>
              <w:t>6</w:t>
            </w:r>
          </w:p>
        </w:tc>
        <w:tc>
          <w:tcPr>
            <w:tcW w:w="850"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73040-4FC026APS4WA4W线端 PBT BK26P 防呆 上2下1， WCON</w:t>
            </w:r>
          </w:p>
        </w:tc>
        <w:tc>
          <w:tcPr>
            <w:tcW w:w="85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r>
              <w:rPr>
                <w:rFonts w:hint="default"/>
                <w:szCs w:val="20"/>
              </w:rPr>
              <w:t>6</w:t>
            </w:r>
          </w:p>
        </w:tc>
        <w:tc>
          <w:tcPr>
            <w:tcW w:w="850"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73040-4FC026APS4WA5W线端 PBT BK26P 防呆 上3下2， WCON</w:t>
            </w:r>
          </w:p>
        </w:tc>
        <w:tc>
          <w:tcPr>
            <w:tcW w:w="851"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2</w:t>
            </w:r>
            <w:r>
              <w:rPr>
                <w:rFonts w:hint="default"/>
                <w:szCs w:val="20"/>
              </w:rPr>
              <w:t>6</w:t>
            </w:r>
          </w:p>
        </w:tc>
        <w:tc>
          <w:tcPr>
            <w:tcW w:w="850"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p>
        </w:tc>
        <w:tc>
          <w:tcPr>
            <w:tcW w:w="1276" w:type="dxa"/>
          </w:tcPr>
          <w:p>
            <w:pPr>
              <w:keepNext w:val="0"/>
              <w:keepLines w:val="0"/>
              <w:suppressLineNumbers w:val="0"/>
              <w:spacing w:before="0" w:beforeAutospacing="0" w:after="0" w:afterAutospacing="0"/>
              <w:ind w:left="0" w:right="0" w:firstLine="0" w:firstLineChars="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1417" w:type="dxa"/>
            <w:vMerge w:val="continue"/>
          </w:tcPr>
          <w:p>
            <w:pPr>
              <w:keepNext w:val="0"/>
              <w:keepLines w:val="0"/>
              <w:suppressLineNumbers w:val="0"/>
              <w:spacing w:before="0" w:beforeAutospacing="0" w:after="0" w:afterAutospacing="0"/>
              <w:ind w:left="0" w:right="0" w:firstLine="0" w:firstLineChars="0"/>
              <w:jc w:val="center"/>
              <w:rPr>
                <w:rFonts w:hint="default"/>
                <w:szCs w:val="20"/>
              </w:rPr>
            </w:pPr>
          </w:p>
        </w:tc>
        <w:tc>
          <w:tcPr>
            <w:tcW w:w="3402"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T7219S-C221D4S402W打线端子适配线径 Ф1.8~2.4</w:t>
            </w:r>
          </w:p>
        </w:tc>
        <w:tc>
          <w:tcPr>
            <w:tcW w:w="851" w:type="dxa"/>
          </w:tcPr>
          <w:p>
            <w:pPr>
              <w:keepNext w:val="0"/>
              <w:keepLines w:val="0"/>
              <w:suppressLineNumbers w:val="0"/>
              <w:spacing w:before="0" w:beforeAutospacing="0" w:after="0" w:afterAutospacing="0"/>
              <w:ind w:left="0" w:right="0" w:firstLine="0" w:firstLineChars="0"/>
              <w:jc w:val="center"/>
              <w:rPr>
                <w:rFonts w:hint="default"/>
                <w:szCs w:val="20"/>
              </w:rPr>
            </w:pPr>
          </w:p>
        </w:tc>
        <w:tc>
          <w:tcPr>
            <w:tcW w:w="850" w:type="dxa"/>
          </w:tcPr>
          <w:p>
            <w:pPr>
              <w:keepNext w:val="0"/>
              <w:keepLines w:val="0"/>
              <w:suppressLineNumbers w:val="0"/>
              <w:spacing w:before="0" w:beforeAutospacing="0" w:after="0" w:afterAutospacing="0"/>
              <w:ind w:left="0" w:right="0" w:firstLine="0" w:firstLineChars="0"/>
              <w:jc w:val="center"/>
              <w:rPr>
                <w:rFonts w:hint="default"/>
                <w:szCs w:val="20"/>
              </w:rPr>
            </w:pPr>
            <w:r>
              <w:rPr>
                <w:rFonts w:hint="eastAsia"/>
                <w:szCs w:val="20"/>
              </w:rPr>
              <w:t>1</w:t>
            </w:r>
            <w:r>
              <w:rPr>
                <w:rFonts w:hint="default"/>
                <w:szCs w:val="20"/>
              </w:rPr>
              <w:t>46</w:t>
            </w:r>
          </w:p>
        </w:tc>
        <w:tc>
          <w:tcPr>
            <w:tcW w:w="1276" w:type="dxa"/>
          </w:tcPr>
          <w:p>
            <w:pPr>
              <w:keepNext w:val="0"/>
              <w:keepLines w:val="0"/>
              <w:suppressLineNumbers w:val="0"/>
              <w:spacing w:before="0" w:beforeAutospacing="0" w:after="0" w:afterAutospacing="0"/>
              <w:ind w:left="0" w:right="0" w:firstLine="0" w:firstLineChars="0"/>
              <w:rPr>
                <w:rFonts w:hint="default"/>
                <w:szCs w:val="20"/>
              </w:rPr>
            </w:pPr>
            <w:r>
              <w:rPr>
                <w:rFonts w:hint="eastAsia"/>
                <w:szCs w:val="20"/>
              </w:rPr>
              <w:t>端子</w:t>
            </w:r>
          </w:p>
        </w:tc>
      </w:tr>
    </w:tbl>
    <w:p>
      <w:pPr>
        <w:ind w:firstLine="480"/>
      </w:pPr>
      <w:r>
        <w:rPr>
          <w:rFonts w:hint="eastAsia"/>
        </w:rPr>
        <w:t>注：</w:t>
      </w:r>
    </w:p>
    <w:p>
      <w:pPr>
        <w:numPr>
          <w:ilvl w:val="0"/>
          <w:numId w:val="16"/>
        </w:numPr>
        <w:ind w:firstLine="480"/>
      </w:pPr>
      <w:r>
        <w:rPr>
          <w:rFonts w:hint="eastAsia"/>
        </w:rPr>
        <w:t>附件均采用密封袋包装，包装上粘贴附件型号（KIO03-01附件）等标识，包装袋内同时含附件清单，包含附件插头的品牌、规格型号、数量等，</w:t>
      </w:r>
      <w:r>
        <w:rPr>
          <w:rFonts w:hint="eastAsia"/>
          <w:color w:val="FF0000"/>
        </w:rPr>
        <w:t>插头需要丝印与KIO表面丝印对应的XS</w:t>
      </w:r>
      <w:r>
        <w:rPr>
          <w:color w:val="FF0000"/>
        </w:rPr>
        <w:t>1、XS2、XS3、XS4、XS5进行区分。</w:t>
      </w:r>
    </w:p>
    <w:p>
      <w:pPr>
        <w:numPr>
          <w:ilvl w:val="0"/>
          <w:numId w:val="16"/>
        </w:numPr>
        <w:ind w:firstLine="480"/>
      </w:pPr>
      <w:r>
        <w:rPr>
          <w:rFonts w:hint="eastAsia"/>
        </w:rPr>
        <w:t>型号为4-1437284-3的封线塞，由国祥根据项目需要配置。</w:t>
      </w:r>
    </w:p>
    <w:p>
      <w:pPr>
        <w:pStyle w:val="2"/>
        <w:spacing w:before="240" w:after="120"/>
      </w:pPr>
      <w:bookmarkStart w:id="83" w:name="_Toc17704"/>
      <w:r>
        <w:t>引用标准及相关文件</w:t>
      </w:r>
      <w:bookmarkEnd w:id="83"/>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以下标准所包含的条文，通过在本技术条件中引用而成为本文的条文。所有标准都会被修订，使用本技术条件时，应使用下列标准最新版本。如果以下所列的标准没有覆盖某些项目，经双方共同确认后，可采用适用的有关标准。</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IEC60077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铁路车辆的电气设备</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IEC60571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机车车辆用电子设备</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IEC61373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机车车辆设备</w:t>
      </w:r>
      <w:r>
        <w:rPr>
          <w:rFonts w:asciiTheme="minorEastAsia" w:hAnsiTheme="minorEastAsia" w:eastAsiaTheme="minorEastAsia"/>
        </w:rPr>
        <w:t>-</w:t>
      </w:r>
      <w:r>
        <w:rPr>
          <w:rFonts w:hint="eastAsia" w:asciiTheme="minorEastAsia" w:hAnsiTheme="minorEastAsia" w:eastAsiaTheme="minorEastAsia"/>
        </w:rPr>
        <w:t>冲击和振动</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IEC61131-2可编程控制器–2部分:设备需求和测试</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IEC60529 </w:t>
      </w:r>
      <w:r>
        <w:rPr>
          <w:rFonts w:hint="eastAsia" w:asciiTheme="minorEastAsia" w:hAnsiTheme="minorEastAsia" w:eastAsiaTheme="minorEastAsia"/>
        </w:rPr>
        <w:t>外壳防护等级（</w:t>
      </w:r>
      <w:r>
        <w:rPr>
          <w:rFonts w:asciiTheme="minorEastAsia" w:hAnsiTheme="minorEastAsia" w:eastAsiaTheme="minorEastAsia"/>
        </w:rPr>
        <w:t xml:space="preserve">IP </w:t>
      </w:r>
      <w:r>
        <w:rPr>
          <w:rFonts w:hint="eastAsia" w:asciiTheme="minorEastAsia" w:hAnsiTheme="minorEastAsia" w:eastAsiaTheme="minorEastAsia"/>
        </w:rPr>
        <w:t>等级）</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IEC62380 </w:t>
      </w:r>
      <w:r>
        <w:rPr>
          <w:rFonts w:hint="eastAsia" w:asciiTheme="minorEastAsia" w:hAnsiTheme="minorEastAsia" w:eastAsiaTheme="minorEastAsia"/>
        </w:rPr>
        <w:t>电子产品、</w:t>
      </w:r>
      <w:r>
        <w:rPr>
          <w:rFonts w:asciiTheme="minorEastAsia" w:hAnsiTheme="minorEastAsia" w:eastAsiaTheme="minorEastAsia"/>
        </w:rPr>
        <w:t xml:space="preserve">PCBs </w:t>
      </w:r>
      <w:r>
        <w:rPr>
          <w:rFonts w:hint="eastAsia" w:asciiTheme="minorEastAsia" w:hAnsiTheme="minorEastAsia" w:eastAsiaTheme="minorEastAsia"/>
        </w:rPr>
        <w:t>和设备的可靠性预计通用模型</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EN15085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机车车辆及其部件的焊接</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EN45545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轨道车辆防火</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EN50121-3-2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电磁兼容性</w:t>
      </w:r>
      <w:r>
        <w:rPr>
          <w:rFonts w:asciiTheme="minorEastAsia" w:hAnsiTheme="minorEastAsia" w:eastAsiaTheme="minorEastAsia"/>
        </w:rPr>
        <w:t>-</w:t>
      </w:r>
      <w:r>
        <w:rPr>
          <w:rFonts w:hint="eastAsia" w:asciiTheme="minorEastAsia" w:hAnsiTheme="minorEastAsia" w:eastAsiaTheme="minorEastAsia"/>
        </w:rPr>
        <w:t>第</w:t>
      </w:r>
      <w:r>
        <w:rPr>
          <w:rFonts w:asciiTheme="minorEastAsia" w:hAnsiTheme="minorEastAsia" w:eastAsiaTheme="minorEastAsia"/>
        </w:rPr>
        <w:t xml:space="preserve">3-2 </w:t>
      </w:r>
      <w:r>
        <w:rPr>
          <w:rFonts w:hint="eastAsia" w:asciiTheme="minorEastAsia" w:hAnsiTheme="minorEastAsia" w:eastAsiaTheme="minorEastAsia"/>
        </w:rPr>
        <w:t>部分：机车车辆</w:t>
      </w:r>
      <w:r>
        <w:rPr>
          <w:rFonts w:asciiTheme="minorEastAsia" w:hAnsiTheme="minorEastAsia" w:eastAsiaTheme="minorEastAsia"/>
        </w:rPr>
        <w:t>-</w:t>
      </w:r>
      <w:r>
        <w:rPr>
          <w:rFonts w:hint="eastAsia" w:asciiTheme="minorEastAsia" w:hAnsiTheme="minorEastAsia" w:eastAsiaTheme="minorEastAsia"/>
        </w:rPr>
        <w:t>设备</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EN55011 工业,科学和医疗设备射频骚扰特性、限值和测量方法</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EN50343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机车车辆</w:t>
      </w:r>
      <w:r>
        <w:rPr>
          <w:rFonts w:asciiTheme="minorEastAsia" w:hAnsiTheme="minorEastAsia" w:eastAsiaTheme="minorEastAsia"/>
        </w:rPr>
        <w:t>-</w:t>
      </w:r>
      <w:r>
        <w:rPr>
          <w:rFonts w:hint="eastAsia" w:asciiTheme="minorEastAsia" w:hAnsiTheme="minorEastAsia" w:eastAsiaTheme="minorEastAsia"/>
        </w:rPr>
        <w:t>布线规则</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EN50155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车辆用电子设备</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EN50126 铁路应用-可靠性、可用性、可维修性和安全性（RAMS）的规范和论证</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EN50128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通讯、信号和处理系统</w:t>
      </w:r>
      <w:r>
        <w:rPr>
          <w:rFonts w:asciiTheme="minorEastAsia" w:hAnsiTheme="minorEastAsia" w:eastAsiaTheme="minorEastAsia"/>
        </w:rPr>
        <w:t>-</w:t>
      </w:r>
      <w:r>
        <w:rPr>
          <w:rFonts w:hint="eastAsia" w:asciiTheme="minorEastAsia" w:hAnsiTheme="minorEastAsia" w:eastAsiaTheme="minorEastAsia"/>
        </w:rPr>
        <w:t>铁路控制和防护系统软件</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EN50264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具有特殊防火性能的铁路车辆用电力电缆与控制电缆</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EN50306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具有特殊防火性能的铁路车辆用电缆</w:t>
      </w:r>
      <w:r>
        <w:rPr>
          <w:rFonts w:asciiTheme="minorEastAsia" w:hAnsiTheme="minorEastAsia" w:eastAsiaTheme="minorEastAsia"/>
        </w:rPr>
        <w:t>-</w:t>
      </w:r>
      <w:r>
        <w:rPr>
          <w:rFonts w:hint="eastAsia" w:asciiTheme="minorEastAsia" w:hAnsiTheme="minorEastAsia" w:eastAsiaTheme="minorEastAsia"/>
        </w:rPr>
        <w:t>薄壁</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MIL-HDBK-217 电子设备可靠性预计手册</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GB/T 2423系列  电工电子产品环境试验</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GB/T 21413.1铁路应用</w:t>
      </w:r>
      <w:r>
        <w:rPr>
          <w:rFonts w:hint="eastAsia" w:asciiTheme="minorEastAsia" w:hAnsiTheme="minorEastAsia" w:eastAsiaTheme="minorEastAsia"/>
        </w:rPr>
        <w:t>-</w:t>
      </w:r>
      <w:r>
        <w:rPr>
          <w:rFonts w:asciiTheme="minorEastAsia" w:hAnsiTheme="minorEastAsia" w:eastAsiaTheme="minorEastAsia"/>
        </w:rPr>
        <w:t>机车车辆电气设备</w:t>
      </w:r>
      <w:r>
        <w:rPr>
          <w:rFonts w:hint="eastAsia" w:asciiTheme="minorEastAsia" w:hAnsiTheme="minorEastAsia" w:eastAsiaTheme="minorEastAsia"/>
        </w:rPr>
        <w:t>-</w:t>
      </w:r>
      <w:r>
        <w:rPr>
          <w:rFonts w:asciiTheme="minorEastAsia" w:hAnsiTheme="minorEastAsia" w:eastAsiaTheme="minorEastAsia"/>
        </w:rPr>
        <w:t>第1部分：一般使用条件和通用规则</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GB/T 24338.4 轨道交通 电磁兼容-第</w:t>
      </w:r>
      <w:r>
        <w:rPr>
          <w:rFonts w:asciiTheme="minorEastAsia" w:hAnsiTheme="minorEastAsia" w:eastAsiaTheme="minorEastAsia"/>
        </w:rPr>
        <w:t xml:space="preserve">3-2 </w:t>
      </w:r>
      <w:r>
        <w:rPr>
          <w:rFonts w:hint="eastAsia" w:asciiTheme="minorEastAsia" w:hAnsiTheme="minorEastAsia" w:eastAsiaTheme="minorEastAsia"/>
        </w:rPr>
        <w:t>部分：机车车辆</w:t>
      </w:r>
      <w:r>
        <w:rPr>
          <w:rFonts w:asciiTheme="minorEastAsia" w:hAnsiTheme="minorEastAsia" w:eastAsiaTheme="minorEastAsia"/>
        </w:rPr>
        <w:t>-</w:t>
      </w:r>
      <w:r>
        <w:rPr>
          <w:rFonts w:hint="eastAsia" w:asciiTheme="minorEastAsia" w:hAnsiTheme="minorEastAsia" w:eastAsiaTheme="minorEastAsia"/>
        </w:rPr>
        <w:t>设备</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GB/T 25119 轨道交通 机车车辆电子装置</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BZDT1111-CG-G100-001</w:t>
      </w:r>
      <w:r>
        <w:rPr>
          <w:rFonts w:hint="eastAsia" w:asciiTheme="minorEastAsia" w:hAnsiTheme="minorEastAsia" w:eastAsiaTheme="minorEastAsia"/>
        </w:rPr>
        <w:t>系列化中国标准地铁列车研制及试验项目电磁兼容通用技术条件</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TB/T 3139 机车车辆非金属材料及室内空气有害物质限量</w:t>
      </w:r>
    </w:p>
    <w:p>
      <w:pPr>
        <w:pStyle w:val="2"/>
        <w:spacing w:before="240" w:after="120"/>
      </w:pPr>
      <w:bookmarkStart w:id="84" w:name="_Toc2346"/>
      <w:r>
        <w:t>K</w:t>
      </w:r>
      <w:r>
        <w:rPr>
          <w:rFonts w:hint="eastAsia"/>
        </w:rPr>
        <w:t>IO</w:t>
      </w:r>
      <w:r>
        <w:t>硬件参数</w:t>
      </w:r>
      <w:bookmarkEnd w:id="84"/>
    </w:p>
    <w:p>
      <w:pPr>
        <w:pStyle w:val="3"/>
        <w:tabs>
          <w:tab w:val="left" w:pos="0"/>
          <w:tab w:val="clear" w:pos="567"/>
        </w:tabs>
        <w:spacing w:before="120"/>
      </w:pPr>
      <w:bookmarkStart w:id="85" w:name="_Toc17729"/>
      <w:r>
        <w:t>应用环境条件</w:t>
      </w:r>
      <w:bookmarkEnd w:id="85"/>
    </w:p>
    <w:p>
      <w:pPr>
        <w:ind w:firstLine="480"/>
      </w:pPr>
      <w:r>
        <w:t>环境温度：－25</w:t>
      </w:r>
      <w:r>
        <w:rPr>
          <w:rFonts w:hint="eastAsia"/>
        </w:rPr>
        <w:t>℃</w:t>
      </w:r>
      <w:r>
        <w:t>～＋70</w:t>
      </w:r>
      <w:r>
        <w:rPr>
          <w:rFonts w:hint="eastAsia"/>
        </w:rPr>
        <w:t>℃</w:t>
      </w:r>
    </w:p>
    <w:p>
      <w:pPr>
        <w:ind w:firstLine="480"/>
      </w:pPr>
      <w:r>
        <w:t>存储温度：－40</w:t>
      </w:r>
      <w:r>
        <w:rPr>
          <w:rFonts w:hint="eastAsia"/>
        </w:rPr>
        <w:t>℃</w:t>
      </w:r>
      <w:r>
        <w:t>～＋85</w:t>
      </w:r>
      <w:r>
        <w:rPr>
          <w:rFonts w:hint="eastAsia"/>
        </w:rPr>
        <w:t>℃</w:t>
      </w:r>
    </w:p>
    <w:p>
      <w:pPr>
        <w:ind w:firstLine="480"/>
      </w:pPr>
      <w:r>
        <w:t>相对湿度： 0%～95%</w:t>
      </w:r>
    </w:p>
    <w:p>
      <w:pPr>
        <w:ind w:firstLine="480"/>
      </w:pPr>
      <w:r>
        <w:t>海拔高度： &lt;3000 m</w:t>
      </w:r>
    </w:p>
    <w:p>
      <w:pPr>
        <w:ind w:firstLine="480"/>
      </w:pPr>
      <w:r>
        <w:rPr>
          <w:rFonts w:hint="eastAsia"/>
        </w:rPr>
        <w:t>防护等级：IP54</w:t>
      </w:r>
    </w:p>
    <w:p>
      <w:pPr>
        <w:ind w:firstLine="480"/>
      </w:pPr>
      <w:r>
        <w:rPr>
          <w:rFonts w:hint="eastAsia"/>
        </w:rPr>
        <w:t>螺钉材质：不锈钢</w:t>
      </w:r>
    </w:p>
    <w:p>
      <w:pPr>
        <w:pStyle w:val="3"/>
        <w:tabs>
          <w:tab w:val="left" w:pos="0"/>
          <w:tab w:val="clear" w:pos="567"/>
        </w:tabs>
        <w:spacing w:before="120"/>
      </w:pPr>
      <w:bookmarkStart w:id="86" w:name="_Toc13400"/>
      <w:r>
        <w:t>硬件结构</w:t>
      </w:r>
      <w:bookmarkEnd w:id="86"/>
    </w:p>
    <w:p>
      <w:pPr>
        <w:ind w:firstLine="480"/>
      </w:pPr>
      <w:r>
        <w:rPr>
          <w:rFonts w:hint="eastAsia" w:ascii="宋体" w:hAnsi="宋体"/>
        </w:rPr>
        <w:t xml:space="preserve">◆ </w:t>
      </w:r>
      <w:r>
        <w:rPr>
          <w:rFonts w:hint="eastAsia"/>
        </w:rPr>
        <w:t>芯片更新换代的管控要求：要求所有影响软件的电子元器件采购期至少能维持15年。</w:t>
      </w:r>
    </w:p>
    <w:p>
      <w:pPr>
        <w:ind w:firstLine="480"/>
      </w:pPr>
      <w:r>
        <w:rPr>
          <w:rFonts w:hint="eastAsia" w:ascii="宋体" w:hAnsi="宋体"/>
        </w:rPr>
        <w:t xml:space="preserve">◆ </w:t>
      </w:r>
      <w:r>
        <w:rPr>
          <w:rFonts w:hint="eastAsia"/>
        </w:rPr>
        <w:t>采购期风险评估的要求：要求每年对在产型号进行梳理，若有不能够满足15年采购期的型号需向我司发起型号停用申请。</w:t>
      </w:r>
    </w:p>
    <w:p>
      <w:pPr>
        <w:pStyle w:val="3"/>
        <w:tabs>
          <w:tab w:val="left" w:pos="0"/>
          <w:tab w:val="clear" w:pos="567"/>
        </w:tabs>
        <w:spacing w:before="120"/>
      </w:pPr>
      <w:bookmarkStart w:id="87" w:name="_Toc2537"/>
      <w:r>
        <w:rPr>
          <w:rFonts w:hint="eastAsia"/>
        </w:rPr>
        <w:t>IO模块硬件需求</w:t>
      </w:r>
      <w:bookmarkEnd w:id="87"/>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 xml:space="preserve"> KIO03-01(2.02.24.0460)型IO模块</w:t>
      </w:r>
      <w:r>
        <w:t>支持的资源配置</w:t>
      </w:r>
    </w:p>
    <w:tbl>
      <w:tblPr>
        <w:tblStyle w:val="60"/>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32"/>
        <w:gridCol w:w="708"/>
        <w:gridCol w:w="40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序号</w:t>
            </w:r>
          </w:p>
        </w:tc>
        <w:tc>
          <w:tcPr>
            <w:tcW w:w="1732"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资源类型</w:t>
            </w:r>
          </w:p>
        </w:tc>
        <w:tc>
          <w:tcPr>
            <w:tcW w:w="708"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数量</w:t>
            </w:r>
          </w:p>
        </w:tc>
        <w:tc>
          <w:tcPr>
            <w:tcW w:w="4014"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规格参数</w:t>
            </w:r>
          </w:p>
        </w:tc>
        <w:tc>
          <w:tcPr>
            <w:tcW w:w="1371"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电源输入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16～33.5V</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数字量输入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24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 /隔离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单路</w:t>
            </w:r>
            <w:r>
              <w:rPr>
                <w:rFonts w:hint="default"/>
              </w:rPr>
              <w:t>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12</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DC24V/2A  DC110V/0.2A/隔离</w:t>
            </w:r>
            <w:r>
              <w:rPr>
                <w:rFonts w:hint="eastAsia"/>
              </w:rPr>
              <w:t>(共正)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4</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双路数字量输出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DC24V/2A  DC110V/0.2A/隔离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6</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NTC10K，-50～100</w:t>
            </w:r>
            <w:r>
              <w:rPr>
                <w:rFonts w:hint="eastAsia"/>
              </w:rPr>
              <w:t>℃</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6</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4</w:t>
            </w:r>
            <w:r>
              <w:rPr>
                <w:rFonts w:hint="default"/>
              </w:rPr>
              <w:t>～</w:t>
            </w:r>
            <w:r>
              <w:rPr>
                <w:rFonts w:hint="eastAsia"/>
              </w:rPr>
              <w:t>20mA</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7</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0～10V</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8</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SRAM</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≥128K Byte</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9</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隔离</w:t>
            </w:r>
            <w:r>
              <w:rPr>
                <w:rFonts w:hint="default"/>
              </w:rPr>
              <w:t>SWD接口</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WCON端子接口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w:t>
            </w:r>
            <w:r>
              <w:rPr>
                <w:rFonts w:hint="default"/>
              </w:rPr>
              <w:t>0</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RS485</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&gt;</w:t>
            </w:r>
            <w:r>
              <w:rPr>
                <w:rFonts w:hint="default"/>
              </w:rPr>
              <w:t>=115200bps/隔离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CAN</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隔离、终端电阻120Ω</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5.8节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电子膨胀阀</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2</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2</w:t>
            </w:r>
            <w:r>
              <w:rPr>
                <w:rFonts w:hint="eastAsia"/>
              </w:rPr>
              <w:t>路EEV接口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w:t>
            </w:r>
            <w:r>
              <w:rPr>
                <w:rFonts w:hint="eastAsia"/>
              </w:rPr>
              <w:t>9</w:t>
            </w:r>
            <w:r>
              <w:rPr>
                <w:rFonts w:hint="default"/>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电源输出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5V/100mA</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5.1节</w:t>
            </w:r>
          </w:p>
        </w:tc>
      </w:tr>
    </w:tbl>
    <w:p>
      <w:pPr>
        <w:pStyle w:val="2"/>
        <w:spacing w:before="240" w:after="120"/>
      </w:pPr>
      <w:bookmarkStart w:id="88" w:name="_Toc14826"/>
      <w:r>
        <w:t>电路设计原则</w:t>
      </w:r>
      <w:bookmarkEnd w:id="88"/>
    </w:p>
    <w:p>
      <w:pPr>
        <w:ind w:firstLine="480"/>
      </w:pPr>
      <w:r>
        <w:t>数字量输入DC24V，模拟量输入的电压、电流、电阻</w:t>
      </w:r>
      <w:r>
        <w:rPr>
          <w:rFonts w:hint="eastAsia"/>
        </w:rPr>
        <w:t>型等</w:t>
      </w:r>
      <w:r>
        <w:t>符合BOM兼容原则。</w:t>
      </w:r>
    </w:p>
    <w:p>
      <w:pPr>
        <w:pStyle w:val="3"/>
        <w:tabs>
          <w:tab w:val="left" w:pos="0"/>
          <w:tab w:val="clear" w:pos="567"/>
        </w:tabs>
        <w:spacing w:before="120"/>
      </w:pPr>
      <w:bookmarkStart w:id="89" w:name="_Toc3135"/>
      <w:r>
        <w:t>电源</w:t>
      </w:r>
      <w:bookmarkEnd w:id="89"/>
    </w:p>
    <w:p>
      <w:pPr>
        <w:pStyle w:val="4"/>
        <w:spacing w:before="24" w:after="24"/>
      </w:pPr>
      <w:r>
        <w:rPr>
          <w:rFonts w:hint="eastAsia"/>
        </w:rPr>
        <w:t>DC24V输入</w:t>
      </w:r>
    </w:p>
    <w:p>
      <w:pPr>
        <w:ind w:firstLine="480"/>
      </w:pPr>
      <w:r>
        <w:t>该控制器采用的24Vdc电源输入,电压波动范围为：16.8Vdc～30Vdc（符合EN50155标准），具有反接保护与过载保护。</w:t>
      </w:r>
    </w:p>
    <w:p>
      <w:pPr>
        <w:ind w:firstLine="480"/>
      </w:pPr>
      <w:r>
        <w:t>电源电路要求具有输入反极性保护功能，输入直流电源极性接反时，控制器不工作。</w:t>
      </w:r>
    </w:p>
    <w:p>
      <w:pPr>
        <w:ind w:firstLine="480"/>
      </w:pPr>
      <w:r>
        <w:t>输入电源电压的波动范围及控制器对应的工作状态定义如下：</w:t>
      </w:r>
    </w:p>
    <w:p>
      <w:pPr>
        <w:ind w:firstLine="480"/>
      </w:pPr>
      <w:r>
        <w:t>0.7Un～1.25Un(16.8Vdc～30Vdc)：电压正常波动范围；</w:t>
      </w:r>
    </w:p>
    <w:p>
      <w:pPr>
        <w:ind w:firstLine="480"/>
      </w:pPr>
      <w:r>
        <w:t>0.6Un～1.4Un(14.4Vdc～33.6Vdc)：如果波动持续时间不超过0.1S，控制器的功能不应改变；</w:t>
      </w:r>
    </w:p>
    <w:p>
      <w:pPr>
        <w:ind w:firstLine="480"/>
      </w:pPr>
      <w:r>
        <w:t>1.25Un～1.4Un(30Vdc～33.6Vdc):0.1S～1S以内，控制器可能不正常但不应导致控制器损坏；</w:t>
      </w:r>
    </w:p>
    <w:p>
      <w:pPr>
        <w:ind w:firstLine="480"/>
      </w:pPr>
      <w:r>
        <w:t>1.25Un(30Vdc)电压超过1S，可能导致控制器损坏。</w:t>
      </w:r>
    </w:p>
    <w:p>
      <w:pPr>
        <w:pStyle w:val="4"/>
        <w:spacing w:before="24" w:after="24"/>
      </w:pPr>
      <w:r>
        <w:rPr>
          <w:rFonts w:hint="eastAsia"/>
        </w:rPr>
        <w:t>DC5V输出</w:t>
      </w:r>
    </w:p>
    <w:p>
      <w:pPr>
        <w:ind w:firstLine="480"/>
      </w:pPr>
      <w:r>
        <w:t>输出电压：5V，5%</w:t>
      </w:r>
      <w:r>
        <w:rPr>
          <w:rFonts w:hint="eastAsia"/>
        </w:rPr>
        <w:t>；</w:t>
      </w:r>
    </w:p>
    <w:p>
      <w:pPr>
        <w:ind w:firstLine="480"/>
      </w:pPr>
      <w:r>
        <w:t>输出电流：100mA</w:t>
      </w:r>
      <w:r>
        <w:rPr>
          <w:rFonts w:hint="eastAsia"/>
        </w:rPr>
        <w:t>；</w:t>
      </w:r>
    </w:p>
    <w:p>
      <w:pPr>
        <w:ind w:firstLine="480"/>
      </w:pPr>
      <w:r>
        <w:t>具备输出过流、短路保护功能。</w:t>
      </w:r>
    </w:p>
    <w:p>
      <w:pPr>
        <w:pStyle w:val="3"/>
        <w:tabs>
          <w:tab w:val="left" w:pos="0"/>
          <w:tab w:val="clear" w:pos="567"/>
        </w:tabs>
        <w:spacing w:before="120"/>
      </w:pPr>
      <w:bookmarkStart w:id="90" w:name="_Toc20707"/>
      <w:r>
        <w:t>数字量输入点规格</w:t>
      </w:r>
      <w:bookmarkEnd w:id="90"/>
    </w:p>
    <w:p>
      <w:pPr>
        <w:pStyle w:val="4"/>
        <w:spacing w:before="24" w:after="24"/>
      </w:pPr>
      <w:r>
        <w:t>隔离要求</w:t>
      </w:r>
    </w:p>
    <w:p>
      <w:pPr>
        <w:ind w:firstLine="480"/>
      </w:pPr>
      <w:r>
        <w:t>输入点到控制板逻辑电路之间采用光耦隔离。</w:t>
      </w:r>
    </w:p>
    <w:p>
      <w:pPr>
        <w:ind w:firstLine="480"/>
      </w:pPr>
      <w:r>
        <w:t>24Vdc输入：功能绝缘</w:t>
      </w:r>
      <w:r>
        <w:rPr>
          <w:rFonts w:hint="eastAsia"/>
        </w:rPr>
        <w:t>。</w:t>
      </w:r>
    </w:p>
    <w:p>
      <w:pPr>
        <w:pStyle w:val="4"/>
        <w:spacing w:before="24" w:after="24"/>
      </w:pPr>
      <w:r>
        <w:t>输入类型</w:t>
      </w:r>
    </w:p>
    <w:p>
      <w:pPr>
        <w:ind w:firstLine="480"/>
      </w:pPr>
      <w:r>
        <w:t>只支持源型输入。</w:t>
      </w:r>
    </w:p>
    <w:p>
      <w:pPr>
        <w:pStyle w:val="4"/>
        <w:spacing w:before="24" w:after="24"/>
      </w:pPr>
      <w:r>
        <w:t>输入特性</w:t>
      </w:r>
    </w:p>
    <w:p>
      <w:pPr>
        <w:ind w:firstLine="480"/>
      </w:pPr>
      <w:r>
        <w:rPr>
          <w:rFonts w:hint="eastAsia" w:asciiTheme="majorEastAsia" w:hAnsiTheme="majorEastAsia" w:eastAsiaTheme="majorEastAsia"/>
        </w:rPr>
        <w:t>DC</w:t>
      </w:r>
      <w:r>
        <w:rPr>
          <w:rFonts w:asciiTheme="majorEastAsia" w:hAnsiTheme="majorEastAsia" w:eastAsiaTheme="majorEastAsia"/>
        </w:rPr>
        <w:t xml:space="preserve"> 24V</w:t>
      </w:r>
      <w:r>
        <w:t>输入特性</w:t>
      </w:r>
      <w:r>
        <w:rPr>
          <w:rFonts w:hint="eastAsia"/>
        </w:rPr>
        <w:t>：DC</w:t>
      </w:r>
      <w:r>
        <w:t>24V输入电压波动范围：±30%</w:t>
      </w:r>
      <w:r>
        <w:rPr>
          <w:rFonts w:hint="eastAsia"/>
        </w:rPr>
        <w:t>。</w:t>
      </w:r>
    </w:p>
    <w:p>
      <w:pPr>
        <w:ind w:firstLine="480"/>
      </w:pPr>
      <w:r>
        <w:t>当输入信号电压在7.0V以下时判断为断开状态（OFF），当输入信号电压大于14.0V时判断为闭合状态（ON），在7.0V～14.0V之间其信号状态不确定。输入端设计的闭合状态输入信号的额定电压为DC24V，波动范围及控制器对应的工作状态定义参照控制器输入电源电压的定义。输入端在额定输入信号电压条件下，取用信号电流3.1mA或</w:t>
      </w:r>
      <w:r>
        <w:rPr>
          <w:rFonts w:hint="eastAsia"/>
        </w:rPr>
        <w:t>5mA</w:t>
      </w:r>
      <w:r>
        <w:t xml:space="preserve"> (典型值)。各点采用硬件滤波，滤波常数为10ms。</w:t>
      </w:r>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 xml:space="preserve"> 数字量输入相关参数</w:t>
      </w:r>
    </w:p>
    <w:tbl>
      <w:tblPr>
        <w:tblStyle w:val="60"/>
        <w:tblW w:w="765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
      <w:tblGrid>
        <w:gridCol w:w="1276"/>
        <w:gridCol w:w="2551"/>
        <w:gridCol w:w="38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3827" w:type="dxa"/>
            <w:gridSpan w:val="2"/>
            <w:tcBorders>
              <w:right w:val="single" w:color="auto" w:sz="6" w:space="0"/>
            </w:tcBorders>
            <w:shd w:val="pct20"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3827" w:type="dxa"/>
            <w:tcBorders>
              <w:left w:val="single" w:color="auto" w:sz="6" w:space="0"/>
              <w:right w:val="single" w:color="auto" w:sz="6" w:space="0"/>
            </w:tcBorders>
            <w:shd w:val="pct20"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普通输入端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restart"/>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输入端口</w:t>
            </w: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输入阻抗</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5.6k（最小）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3.1mA</w:t>
            </w:r>
            <w:r>
              <w:rPr>
                <w:rFonts w:hint="eastAsia"/>
              </w:rPr>
              <w:t>/5mA</w:t>
            </w:r>
            <w:r>
              <w:rPr>
                <w:rFonts w:hint="default"/>
              </w:rPr>
              <w:t xml:space="preserve"> TYP.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ON 电压/电流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DC14V Min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trHeight w:val="405" w:hRule="atLeas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OFF 电压/电流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DC7V Max</w:t>
            </w:r>
          </w:p>
        </w:tc>
      </w:tr>
    </w:tbl>
    <w:p>
      <w:pPr>
        <w:pStyle w:val="3"/>
        <w:tabs>
          <w:tab w:val="left" w:pos="0"/>
          <w:tab w:val="clear" w:pos="567"/>
        </w:tabs>
        <w:spacing w:before="120"/>
      </w:pPr>
      <w:bookmarkStart w:id="91" w:name="_Toc26616"/>
      <w:r>
        <w:t>数字量输出点规格</w:t>
      </w:r>
      <w:bookmarkEnd w:id="91"/>
    </w:p>
    <w:p>
      <w:pPr>
        <w:pStyle w:val="4"/>
        <w:spacing w:before="24" w:after="24"/>
      </w:pPr>
      <w:r>
        <w:t>输出隔离</w:t>
      </w:r>
    </w:p>
    <w:p>
      <w:pPr>
        <w:ind w:firstLine="480"/>
      </w:pPr>
      <w:r>
        <w:t xml:space="preserve">输出与内部电路之间采用隔离设计。继电器输出的不同公共端的输出端之间采用加强绝缘隔离。 </w:t>
      </w:r>
    </w:p>
    <w:p>
      <w:pPr>
        <w:pStyle w:val="4"/>
        <w:spacing w:before="24" w:after="24"/>
      </w:pPr>
      <w:r>
        <w:t>输出特性</w:t>
      </w:r>
    </w:p>
    <w:p>
      <w:pPr>
        <w:ind w:firstLine="480"/>
      </w:pPr>
      <w:r>
        <w:rPr>
          <w:rFonts w:hint="eastAsia"/>
        </w:rPr>
        <w:t>固态继电器输出：</w:t>
      </w:r>
    </w:p>
    <w:p>
      <w:pPr>
        <w:pStyle w:val="193"/>
        <w:numPr>
          <w:ilvl w:val="0"/>
          <w:numId w:val="12"/>
        </w:numPr>
        <w:ind w:firstLineChars="0"/>
      </w:pPr>
      <w:r>
        <w:t>输出端口为固态继电器时，输出有效（状态“1”）时为闭合状态；输出禁止（状态“0”）时为断开状态；依据输出点数配置，设有多个公共端COM，适应不同电位的控制电路。</w:t>
      </w:r>
    </w:p>
    <w:p>
      <w:pPr>
        <w:pStyle w:val="193"/>
        <w:numPr>
          <w:ilvl w:val="0"/>
          <w:numId w:val="12"/>
        </w:numPr>
        <w:ind w:firstLineChars="0"/>
      </w:pPr>
      <w:r>
        <w:t>单点额定电流为1A；每个公共端的总电流小于8A</w:t>
      </w:r>
      <w:r>
        <w:rPr>
          <w:rFonts w:hint="eastAsia"/>
        </w:rPr>
        <w:t>。</w:t>
      </w:r>
    </w:p>
    <w:p>
      <w:pPr>
        <w:pStyle w:val="193"/>
        <w:numPr>
          <w:ilvl w:val="0"/>
          <w:numId w:val="12"/>
        </w:numPr>
        <w:ind w:firstLineChars="0"/>
      </w:pPr>
      <w:r>
        <w:t>可外接负载10-110Vdc，单点额定电流为0.2A</w:t>
      </w:r>
      <w:r>
        <w:rPr>
          <w:rFonts w:hint="eastAsia"/>
        </w:rPr>
        <w:t>。</w:t>
      </w:r>
    </w:p>
    <w:p>
      <w:pPr>
        <w:pStyle w:val="193"/>
        <w:numPr>
          <w:ilvl w:val="0"/>
          <w:numId w:val="12"/>
        </w:numPr>
        <w:ind w:firstLineChars="0"/>
      </w:pPr>
      <w:r>
        <w:t>最小负载电流：10mA</w:t>
      </w:r>
      <w:r>
        <w:rPr>
          <w:rFonts w:hint="eastAsia"/>
        </w:rPr>
        <w:t>。</w:t>
      </w:r>
    </w:p>
    <w:p>
      <w:pPr>
        <w:pStyle w:val="193"/>
        <w:numPr>
          <w:ilvl w:val="0"/>
          <w:numId w:val="12"/>
        </w:numPr>
        <w:ind w:firstLineChars="0"/>
      </w:pPr>
      <w:r>
        <w:t>继电器的吸合与断开的时间小于1ms</w:t>
      </w:r>
      <w:r>
        <w:rPr>
          <w:rFonts w:hint="eastAsia"/>
        </w:rPr>
        <w:t>。</w:t>
      </w:r>
    </w:p>
    <w:p>
      <w:pPr>
        <w:pStyle w:val="3"/>
        <w:tabs>
          <w:tab w:val="left" w:pos="0"/>
          <w:tab w:val="clear" w:pos="567"/>
        </w:tabs>
        <w:spacing w:before="120"/>
      </w:pPr>
      <w:bookmarkStart w:id="92" w:name="_Toc27625"/>
      <w:r>
        <w:t>模拟量输入规格</w:t>
      </w:r>
      <w:bookmarkEnd w:id="92"/>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5</w:t>
      </w:r>
      <w:r>
        <w:fldChar w:fldCharType="end"/>
      </w:r>
      <w:r>
        <w:rPr>
          <w:rFonts w:hint="eastAsia"/>
        </w:rPr>
        <w:t xml:space="preserve"> 模拟量输入相关参数</w:t>
      </w:r>
    </w:p>
    <w:tbl>
      <w:tblPr>
        <w:tblStyle w:val="60"/>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
        <w:gridCol w:w="1548"/>
        <w:gridCol w:w="3710"/>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0" w:type="dxa"/>
            <w:gridSpan w:val="3"/>
            <w:shd w:val="clear" w:color="auto" w:fill="C0C0C0"/>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6237" w:type="dxa"/>
            <w:gridSpan w:val="2"/>
            <w:shd w:val="clear" w:color="auto" w:fill="C0C0C0"/>
            <w:vAlign w:val="center"/>
          </w:tcPr>
          <w:p>
            <w:pPr>
              <w:pStyle w:val="156"/>
              <w:keepNext w:val="0"/>
              <w:keepLines w:val="0"/>
              <w:widowControl/>
              <w:suppressLineNumbers w:val="0"/>
              <w:spacing w:beforeAutospacing="0" w:after="0" w:afterAutospacing="0"/>
              <w:ind w:left="0" w:right="0"/>
              <w:rPr>
                <w:rFonts w:hint="default"/>
              </w:rPr>
            </w:pPr>
            <w:r>
              <w:rPr>
                <w:rFonts w:hint="default"/>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atLeast"/>
          <w:jc w:val="center"/>
        </w:trPr>
        <w:tc>
          <w:tcPr>
            <w:tcW w:w="862" w:type="dxa"/>
            <w:gridSpan w:val="2"/>
            <w:vMerge w:val="restart"/>
            <w:vAlign w:val="center"/>
          </w:tcPr>
          <w:p>
            <w:pPr>
              <w:pStyle w:val="156"/>
              <w:keepNext w:val="0"/>
              <w:keepLines w:val="0"/>
              <w:widowControl/>
              <w:suppressLineNumbers w:val="0"/>
              <w:spacing w:beforeAutospacing="0" w:after="0" w:afterAutospacing="0"/>
              <w:ind w:left="0" w:right="0"/>
              <w:rPr>
                <w:rFonts w:hint="default"/>
              </w:rPr>
            </w:pPr>
            <w:r>
              <w:rPr>
                <w:rFonts w:hint="default"/>
              </w:rPr>
              <w:t>模拟输入范围</w:t>
            </w: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电压输入</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0～10V DC（输入阻抗为1MΩ）</w:t>
            </w:r>
          </w:p>
        </w:tc>
        <w:tc>
          <w:tcPr>
            <w:tcW w:w="2527" w:type="dxa"/>
            <w:vMerge w:val="restart"/>
          </w:tcPr>
          <w:p>
            <w:pPr>
              <w:pStyle w:val="156"/>
              <w:keepNext w:val="0"/>
              <w:keepLines w:val="0"/>
              <w:widowControl/>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862" w:type="dxa"/>
            <w:gridSpan w:val="2"/>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电流输入</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 xml:space="preserve">4～20mA (输入阻抗为250Ω) </w:t>
            </w:r>
          </w:p>
        </w:tc>
        <w:tc>
          <w:tcPr>
            <w:tcW w:w="2527" w:type="dxa"/>
            <w:vMerge w:val="continue"/>
          </w:tcPr>
          <w:p>
            <w:pPr>
              <w:pStyle w:val="156"/>
              <w:keepNext w:val="0"/>
              <w:keepLines w:val="0"/>
              <w:widowControl/>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862" w:type="dxa"/>
            <w:gridSpan w:val="2"/>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NTC</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-50～+100</w:t>
            </w:r>
            <w:r>
              <w:rPr>
                <w:rFonts w:hint="eastAsia"/>
              </w:rPr>
              <w:t>℃</w:t>
            </w:r>
          </w:p>
        </w:tc>
        <w:tc>
          <w:tcPr>
            <w:tcW w:w="2527" w:type="dxa"/>
          </w:tcPr>
          <w:p>
            <w:pPr>
              <w:pStyle w:val="156"/>
              <w:keepNext w:val="0"/>
              <w:keepLines w:val="0"/>
              <w:widowControl/>
              <w:suppressLineNumbers w:val="0"/>
              <w:spacing w:beforeAutospacing="0" w:after="0" w:afterAutospacing="0"/>
              <w:ind w:left="0" w:right="0"/>
              <w:rPr>
                <w:rFonts w:hint="default"/>
              </w:rPr>
            </w:pPr>
            <w:r>
              <w:rPr>
                <w:rFonts w:hint="eastAsia"/>
              </w:rPr>
              <w:t>中心阻值10KΩ或2KΩ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0" w:type="dxa"/>
            <w:gridSpan w:val="3"/>
            <w:vAlign w:val="center"/>
          </w:tcPr>
          <w:p>
            <w:pPr>
              <w:pStyle w:val="156"/>
              <w:keepNext w:val="0"/>
              <w:keepLines w:val="0"/>
              <w:widowControl/>
              <w:suppressLineNumbers w:val="0"/>
              <w:spacing w:beforeAutospacing="0" w:after="0" w:afterAutospacing="0"/>
              <w:ind w:left="0" w:right="0"/>
              <w:rPr>
                <w:rFonts w:hint="default"/>
              </w:rPr>
            </w:pPr>
            <w:r>
              <w:rPr>
                <w:rFonts w:hint="default"/>
              </w:rPr>
              <w:t>转换速度</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15ms/通道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851" w:type="dxa"/>
            <w:vMerge w:val="restart"/>
            <w:vAlign w:val="center"/>
          </w:tcPr>
          <w:p>
            <w:pPr>
              <w:pStyle w:val="156"/>
              <w:keepNext w:val="0"/>
              <w:keepLines w:val="0"/>
              <w:widowControl/>
              <w:suppressLineNumbers w:val="0"/>
              <w:spacing w:beforeAutospacing="0" w:after="0" w:afterAutospacing="0"/>
              <w:ind w:left="0" w:right="0"/>
              <w:rPr>
                <w:rFonts w:hint="default"/>
              </w:rPr>
            </w:pPr>
            <w:r>
              <w:rPr>
                <w:rFonts w:hint="default"/>
              </w:rPr>
              <w:t>分辨率</w:t>
            </w:r>
          </w:p>
        </w:tc>
        <w:tc>
          <w:tcPr>
            <w:tcW w:w="1559"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电压输入</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5mV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851" w:type="dxa"/>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59"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电流输入</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10uA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jc w:val="center"/>
        </w:trPr>
        <w:tc>
          <w:tcPr>
            <w:tcW w:w="2410" w:type="dxa"/>
            <w:gridSpan w:val="3"/>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精度</w:t>
            </w:r>
          </w:p>
        </w:tc>
        <w:tc>
          <w:tcPr>
            <w:tcW w:w="6237" w:type="dxa"/>
            <w:gridSpan w:val="2"/>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2410" w:type="dxa"/>
            <w:gridSpan w:val="3"/>
            <w:vAlign w:val="center"/>
          </w:tcPr>
          <w:p>
            <w:pPr>
              <w:pStyle w:val="156"/>
              <w:keepNext w:val="0"/>
              <w:keepLines w:val="0"/>
              <w:widowControl/>
              <w:suppressLineNumbers w:val="0"/>
              <w:spacing w:beforeAutospacing="0" w:after="0" w:afterAutospacing="0"/>
              <w:ind w:left="0" w:right="0"/>
              <w:rPr>
                <w:rFonts w:hint="default"/>
              </w:rPr>
            </w:pPr>
            <w:r>
              <w:rPr>
                <w:rFonts w:hint="default"/>
              </w:rPr>
              <w:t>隔离</w:t>
            </w:r>
          </w:p>
        </w:tc>
        <w:tc>
          <w:tcPr>
            <w:tcW w:w="6237" w:type="dxa"/>
            <w:gridSpan w:val="2"/>
          </w:tcPr>
          <w:p>
            <w:pPr>
              <w:pStyle w:val="156"/>
              <w:keepNext w:val="0"/>
              <w:keepLines w:val="0"/>
              <w:widowControl/>
              <w:suppressLineNumbers w:val="0"/>
              <w:spacing w:beforeAutospacing="0" w:after="0" w:afterAutospacing="0"/>
              <w:ind w:left="0" w:right="0"/>
              <w:rPr>
                <w:rFonts w:hint="default"/>
              </w:rPr>
            </w:pPr>
            <w:r>
              <w:rPr>
                <w:rFonts w:hint="default"/>
              </w:rPr>
              <w:t>模拟电路和数字电路之间用光电耦合器进行隔离。模拟电路和外部电源用DC/DC进行隔离。模拟通道之间不隔离。</w:t>
            </w:r>
          </w:p>
        </w:tc>
      </w:tr>
    </w:tbl>
    <w:p>
      <w:pPr>
        <w:ind w:firstLine="174" w:firstLineChars="83"/>
      </w:pPr>
      <w:r>
        <w:rPr>
          <w:rFonts w:hint="eastAsia"/>
        </w:rPr>
        <w:t>依据附录1 NTC10K温度传感器阻值对应表，采集精度满足如下要求：</w:t>
      </w:r>
    </w:p>
    <w:p>
      <w:pPr>
        <w:pStyle w:val="203"/>
        <w:numPr>
          <w:ilvl w:val="0"/>
          <w:numId w:val="13"/>
        </w:numPr>
        <w:ind w:firstLineChars="0"/>
      </w:pPr>
      <w:r>
        <w:rPr>
          <w:rFonts w:hint="eastAsia"/>
        </w:rPr>
        <w:t>-15℃≤Tc&lt;55℃范围时误差小于0.2℃</w:t>
      </w:r>
    </w:p>
    <w:p>
      <w:pPr>
        <w:pStyle w:val="203"/>
        <w:numPr>
          <w:ilvl w:val="0"/>
          <w:numId w:val="13"/>
        </w:numPr>
        <w:ind w:firstLineChars="0"/>
      </w:pPr>
      <w:r>
        <w:rPr>
          <w:rFonts w:hint="eastAsia"/>
        </w:rPr>
        <w:t>-25℃≤Tc&lt;-15℃及55℃≤Tc&lt;70℃时误差小于0.4℃</w:t>
      </w:r>
    </w:p>
    <w:p>
      <w:pPr>
        <w:pStyle w:val="203"/>
        <w:numPr>
          <w:ilvl w:val="0"/>
          <w:numId w:val="13"/>
        </w:numPr>
        <w:ind w:firstLineChars="0"/>
      </w:pPr>
      <w:r>
        <w:rPr>
          <w:rFonts w:hint="eastAsia"/>
        </w:rPr>
        <w:t>-40℃≤Tc&lt;-25℃及70℃≤Tc&lt;100℃ 误差小于±1℃,</w:t>
      </w:r>
    </w:p>
    <w:p>
      <w:pPr>
        <w:pStyle w:val="203"/>
        <w:numPr>
          <w:ilvl w:val="0"/>
          <w:numId w:val="13"/>
        </w:numPr>
        <w:ind w:firstLineChars="0"/>
      </w:pPr>
      <w:r>
        <w:rPr>
          <w:rFonts w:hint="eastAsia"/>
        </w:rPr>
        <w:t>≥100℃时，误差小于±2</w:t>
      </w:r>
    </w:p>
    <w:p>
      <w:pPr>
        <w:pStyle w:val="3"/>
        <w:tabs>
          <w:tab w:val="left" w:pos="0"/>
          <w:tab w:val="clear" w:pos="567"/>
        </w:tabs>
        <w:spacing w:before="120"/>
      </w:pPr>
      <w:bookmarkStart w:id="93" w:name="_Toc23546"/>
      <w:r>
        <w:rPr>
          <w:rFonts w:hint="eastAsia"/>
        </w:rPr>
        <w:t>存储器</w:t>
      </w:r>
      <w:bookmarkEnd w:id="93"/>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6</w:t>
      </w:r>
      <w:r>
        <w:fldChar w:fldCharType="end"/>
      </w:r>
      <w:r>
        <w:rPr>
          <w:rFonts w:hint="eastAsia"/>
        </w:rPr>
        <w:t xml:space="preserve"> 存储器配置</w:t>
      </w:r>
    </w:p>
    <w:tbl>
      <w:tblPr>
        <w:tblStyle w:val="60"/>
        <w:tblW w:w="828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872"/>
        <w:gridCol w:w="1701"/>
        <w:gridCol w:w="3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1872" w:type="dxa"/>
          </w:tcPr>
          <w:p>
            <w:pPr>
              <w:pStyle w:val="156"/>
              <w:keepNext w:val="0"/>
              <w:keepLines w:val="0"/>
              <w:widowControl/>
              <w:suppressLineNumbers w:val="0"/>
              <w:spacing w:beforeAutospacing="0" w:after="0" w:afterAutospacing="0"/>
              <w:ind w:left="0" w:right="0"/>
              <w:rPr>
                <w:rFonts w:hint="default"/>
              </w:rPr>
            </w:pPr>
            <w:r>
              <w:rPr>
                <w:rFonts w:hint="default"/>
              </w:rPr>
              <w:t>接口方式</w:t>
            </w:r>
          </w:p>
        </w:tc>
        <w:tc>
          <w:tcPr>
            <w:tcW w:w="1701" w:type="dxa"/>
          </w:tcPr>
          <w:p>
            <w:pPr>
              <w:pStyle w:val="156"/>
              <w:keepNext w:val="0"/>
              <w:keepLines w:val="0"/>
              <w:widowControl/>
              <w:suppressLineNumbers w:val="0"/>
              <w:spacing w:beforeAutospacing="0" w:after="0" w:afterAutospacing="0"/>
              <w:ind w:left="0" w:right="0"/>
              <w:rPr>
                <w:rFonts w:hint="default"/>
              </w:rPr>
            </w:pPr>
            <w:r>
              <w:rPr>
                <w:rFonts w:hint="default"/>
              </w:rPr>
              <w:t>容量byte</w:t>
            </w:r>
          </w:p>
        </w:tc>
        <w:tc>
          <w:tcPr>
            <w:tcW w:w="3753" w:type="dxa"/>
          </w:tcPr>
          <w:p>
            <w:pPr>
              <w:pStyle w:val="156"/>
              <w:keepNext w:val="0"/>
              <w:keepLines w:val="0"/>
              <w:widowControl/>
              <w:suppressLineNumbers w:val="0"/>
              <w:spacing w:beforeAutospacing="0" w:after="0" w:afterAutospacing="0"/>
              <w:ind w:left="0" w:right="0"/>
              <w:rPr>
                <w:rFonts w:hint="default"/>
              </w:rPr>
            </w:pPr>
            <w:r>
              <w:rPr>
                <w:rFonts w:hint="default"/>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Pr>
        <w:tc>
          <w:tcPr>
            <w:tcW w:w="954" w:type="dxa"/>
          </w:tcPr>
          <w:p>
            <w:pPr>
              <w:pStyle w:val="156"/>
              <w:keepNext w:val="0"/>
              <w:keepLines w:val="0"/>
              <w:widowControl/>
              <w:suppressLineNumbers w:val="0"/>
              <w:spacing w:beforeAutospacing="0" w:after="0" w:afterAutospacing="0"/>
              <w:ind w:left="0" w:right="0"/>
              <w:rPr>
                <w:rFonts w:hint="default"/>
              </w:rPr>
            </w:pPr>
            <w:r>
              <w:rPr>
                <w:rFonts w:hint="default"/>
              </w:rPr>
              <w:t>RAM</w:t>
            </w:r>
          </w:p>
        </w:tc>
        <w:tc>
          <w:tcPr>
            <w:tcW w:w="1872" w:type="dxa"/>
          </w:tcPr>
          <w:p>
            <w:pPr>
              <w:pStyle w:val="156"/>
              <w:keepNext w:val="0"/>
              <w:keepLines w:val="0"/>
              <w:widowControl/>
              <w:suppressLineNumbers w:val="0"/>
              <w:spacing w:beforeAutospacing="0" w:after="0" w:afterAutospacing="0"/>
              <w:ind w:left="0" w:right="0"/>
              <w:rPr>
                <w:rFonts w:hint="default"/>
              </w:rPr>
            </w:pPr>
            <w:r>
              <w:rPr>
                <w:rFonts w:hint="default"/>
              </w:rPr>
              <w:t>MCU片内</w:t>
            </w:r>
          </w:p>
        </w:tc>
        <w:tc>
          <w:tcPr>
            <w:tcW w:w="1701" w:type="dxa"/>
          </w:tcPr>
          <w:p>
            <w:pPr>
              <w:pStyle w:val="156"/>
              <w:keepNext w:val="0"/>
              <w:keepLines w:val="0"/>
              <w:widowControl/>
              <w:suppressLineNumbers w:val="0"/>
              <w:spacing w:beforeAutospacing="0" w:after="0" w:afterAutospacing="0"/>
              <w:ind w:left="0" w:right="0"/>
              <w:rPr>
                <w:rFonts w:hint="default"/>
              </w:rPr>
            </w:pPr>
            <w:r>
              <w:rPr>
                <w:rFonts w:hint="default"/>
              </w:rPr>
              <w:t>192K</w:t>
            </w:r>
          </w:p>
        </w:tc>
        <w:tc>
          <w:tcPr>
            <w:tcW w:w="3753" w:type="dxa"/>
          </w:tcPr>
          <w:p>
            <w:pPr>
              <w:pStyle w:val="156"/>
              <w:keepNext w:val="0"/>
              <w:keepLines w:val="0"/>
              <w:widowControl/>
              <w:suppressLineNumbers w:val="0"/>
              <w:spacing w:beforeAutospacing="0" w:after="0" w:afterAutospacing="0"/>
              <w:ind w:left="0" w:right="0"/>
              <w:rPr>
                <w:rFonts w:hint="default"/>
              </w:rPr>
            </w:pPr>
            <w:r>
              <w:rPr>
                <w:rFonts w:hint="default"/>
              </w:rPr>
              <w:t>工作缓存，包括变量、元件、栈等</w:t>
            </w:r>
          </w:p>
        </w:tc>
      </w:tr>
    </w:tbl>
    <w:p>
      <w:pPr>
        <w:pStyle w:val="3"/>
        <w:tabs>
          <w:tab w:val="left" w:pos="0"/>
          <w:tab w:val="clear" w:pos="567"/>
        </w:tabs>
        <w:spacing w:before="120"/>
      </w:pPr>
      <w:bookmarkStart w:id="94" w:name="_Toc20941"/>
      <w:r>
        <w:rPr>
          <w:rFonts w:hint="eastAsia"/>
        </w:rPr>
        <w:t>隔离</w:t>
      </w:r>
      <w:r>
        <w:t>SWD接口</w:t>
      </w:r>
      <w:bookmarkEnd w:id="94"/>
    </w:p>
    <w:p>
      <w:pPr>
        <w:ind w:firstLine="480"/>
      </w:pPr>
      <w:r>
        <w:rPr>
          <w:rFonts w:hint="eastAsia"/>
        </w:rPr>
        <w:t>将控制器</w:t>
      </w:r>
      <w:r>
        <w:t>的SWD调试</w:t>
      </w:r>
      <w:r>
        <w:rPr>
          <w:rFonts w:hint="eastAsia"/>
        </w:rPr>
        <w:t>口</w:t>
      </w:r>
      <w:r>
        <w:t>增加隔离电路后引出</w:t>
      </w:r>
      <w:r>
        <w:rPr>
          <w:rFonts w:hint="eastAsia"/>
        </w:rPr>
        <w:t>。</w:t>
      </w:r>
    </w:p>
    <w:p>
      <w:pPr>
        <w:pStyle w:val="3"/>
        <w:tabs>
          <w:tab w:val="left" w:pos="0"/>
          <w:tab w:val="clear" w:pos="567"/>
        </w:tabs>
        <w:spacing w:before="120"/>
      </w:pPr>
      <w:bookmarkStart w:id="95" w:name="_Toc12587"/>
      <w:r>
        <w:t>RS485</w:t>
      </w:r>
      <w:bookmarkEnd w:id="95"/>
    </w:p>
    <w:p>
      <w:pPr>
        <w:pStyle w:val="193"/>
        <w:numPr>
          <w:ilvl w:val="0"/>
          <w:numId w:val="14"/>
        </w:numPr>
        <w:ind w:firstLineChars="0"/>
      </w:pPr>
      <w:r>
        <w:t>RS485符合国际行业规定，具备A+、B+及GND基本通信功能。</w:t>
      </w:r>
    </w:p>
    <w:p>
      <w:pPr>
        <w:pStyle w:val="193"/>
        <w:numPr>
          <w:ilvl w:val="0"/>
          <w:numId w:val="14"/>
        </w:numPr>
        <w:ind w:firstLineChars="0"/>
      </w:pPr>
      <w:r>
        <w:t>隔离电压500V/AC</w:t>
      </w:r>
      <w:r>
        <w:rPr>
          <w:rFonts w:hint="eastAsia"/>
        </w:rPr>
        <w:t>。</w:t>
      </w:r>
    </w:p>
    <w:p>
      <w:pPr>
        <w:pStyle w:val="193"/>
        <w:numPr>
          <w:ilvl w:val="0"/>
          <w:numId w:val="14"/>
        </w:numPr>
        <w:ind w:firstLineChars="0"/>
      </w:pPr>
      <w:r>
        <w:t>通信波特率</w:t>
      </w:r>
      <w:r>
        <w:rPr>
          <w:rFonts w:hint="eastAsia"/>
        </w:rPr>
        <w:t>：最大能支持</w:t>
      </w:r>
      <w:r>
        <w:t>115200bps</w:t>
      </w:r>
      <w:r>
        <w:rPr>
          <w:rFonts w:hint="eastAsia"/>
        </w:rPr>
        <w:t>。</w:t>
      </w:r>
    </w:p>
    <w:p>
      <w:pPr>
        <w:pStyle w:val="3"/>
        <w:tabs>
          <w:tab w:val="left" w:pos="0"/>
          <w:tab w:val="clear" w:pos="567"/>
        </w:tabs>
        <w:spacing w:before="120"/>
      </w:pPr>
      <w:bookmarkStart w:id="96" w:name="_Toc22457"/>
      <w:r>
        <w:rPr>
          <w:rFonts w:hint="eastAsia"/>
        </w:rPr>
        <w:t>CAN接口</w:t>
      </w:r>
      <w:bookmarkEnd w:id="96"/>
    </w:p>
    <w:p>
      <w:pPr>
        <w:spacing w:line="360" w:lineRule="auto"/>
        <w:ind w:left="92" w:leftChars="44" w:right="232" w:firstLine="480"/>
        <w:jc w:val="left"/>
      </w:pPr>
      <w:r>
        <w:rPr>
          <w:rFonts w:hint="eastAsia" w:asciiTheme="minorEastAsia" w:hAnsiTheme="minorEastAsia" w:eastAsiaTheme="minorEastAsia"/>
        </w:rPr>
        <w:t>具备屏蔽接口，隔离电压500V/AC。</w:t>
      </w:r>
    </w:p>
    <w:p>
      <w:pPr>
        <w:pStyle w:val="3"/>
        <w:tabs>
          <w:tab w:val="left" w:pos="0"/>
          <w:tab w:val="clear" w:pos="567"/>
        </w:tabs>
        <w:spacing w:before="120"/>
      </w:pPr>
      <w:bookmarkStart w:id="97" w:name="_Toc16520"/>
      <w:r>
        <w:rPr>
          <w:rFonts w:hint="eastAsia"/>
        </w:rPr>
        <w:t>电子膨胀阀接口</w:t>
      </w:r>
      <w:bookmarkEnd w:id="97"/>
    </w:p>
    <w:p>
      <w:pPr>
        <w:ind w:firstLine="480"/>
      </w:pPr>
      <w:r>
        <w:rPr>
          <w:rFonts w:hint="eastAsia"/>
        </w:rPr>
        <w:t>提供接口实现对电子膨胀阀开关的控制，可以实现指定角度的开关及状态监测。</w:t>
      </w:r>
    </w:p>
    <w:p>
      <w:pPr>
        <w:pStyle w:val="2"/>
        <w:spacing w:before="240" w:after="120"/>
      </w:pPr>
      <w:bookmarkStart w:id="98" w:name="_Toc12644"/>
      <w:r>
        <w:rPr>
          <w:rFonts w:hint="eastAsia"/>
        </w:rPr>
        <w:t>KIO软件参数</w:t>
      </w:r>
      <w:bookmarkEnd w:id="98"/>
    </w:p>
    <w:p>
      <w:pPr>
        <w:ind w:firstLine="480"/>
      </w:pPr>
      <w:r>
        <w:rPr>
          <w:rFonts w:hint="eastAsia"/>
        </w:rPr>
        <w:t>供应商需单独提供底层软件，功能描述：支持IAP功能，通信故障时，关闭所有DO。</w:t>
      </w:r>
    </w:p>
    <w:p>
      <w:pPr>
        <w:ind w:firstLine="480"/>
      </w:pPr>
      <w:r>
        <w:rPr>
          <w:rFonts w:hint="eastAsia"/>
        </w:rPr>
        <w:t>KIO的RS485通讯提供两个编址引脚：ADD-SS和ADD-IN，两个管脚短接地址为：0x83，两个管脚断开的地址为：0x03.</w:t>
      </w:r>
    </w:p>
    <w:p>
      <w:pPr>
        <w:ind w:firstLine="480"/>
      </w:pPr>
      <w:r>
        <w:rPr>
          <w:rFonts w:hint="eastAsia"/>
        </w:rPr>
        <w:t>KIO的CPU软件由供应商提供，供应商在更新软件时应提供相关的软件库文件，并标明版本及相关标识号，版本号可以通过通讯接口读出。</w:t>
      </w:r>
    </w:p>
    <w:p>
      <w:pPr>
        <w:pStyle w:val="4"/>
        <w:spacing w:before="24" w:after="24"/>
      </w:pPr>
      <w:r>
        <w:rPr>
          <w:rFonts w:hint="eastAsia"/>
        </w:rPr>
        <w:t>基本要求</w:t>
      </w:r>
    </w:p>
    <w:p>
      <w:pPr>
        <w:numPr>
          <w:ilvl w:val="0"/>
          <w:numId w:val="17"/>
        </w:numPr>
        <w:ind w:firstLineChars="0"/>
      </w:pPr>
      <w:r>
        <w:rPr>
          <w:rFonts w:hint="eastAsia"/>
        </w:rPr>
        <w:t>软件版本默认从1.00开始，同一型号部件不允许出现版本一样但功能不一样的软件，功能变更或者修复软件BUG需要更新软件时，软件版本需升级；</w:t>
      </w:r>
    </w:p>
    <w:p>
      <w:pPr>
        <w:numPr>
          <w:ilvl w:val="0"/>
          <w:numId w:val="17"/>
        </w:numPr>
        <w:ind w:firstLineChars="0"/>
      </w:pPr>
      <w:r>
        <w:rPr>
          <w:rFonts w:hint="eastAsia"/>
        </w:rPr>
        <w:t>供方部件出厂时，至少支持IAP方式更新软件，以备后续软件升级使用；</w:t>
      </w:r>
    </w:p>
    <w:p>
      <w:pPr>
        <w:numPr>
          <w:ilvl w:val="0"/>
          <w:numId w:val="17"/>
        </w:numPr>
        <w:ind w:firstLineChars="0"/>
      </w:pPr>
      <w:r>
        <w:rPr>
          <w:rFonts w:hint="eastAsia"/>
        </w:rPr>
        <w:t>软件版本可以通过空调控制器的通信接口读取，或通过空调控制器上位机软件读取；</w:t>
      </w:r>
    </w:p>
    <w:p>
      <w:pPr>
        <w:numPr>
          <w:ilvl w:val="0"/>
          <w:numId w:val="17"/>
        </w:numPr>
        <w:ind w:firstLineChars="0"/>
      </w:pPr>
      <w:r>
        <w:rPr>
          <w:rFonts w:hint="eastAsia"/>
        </w:rPr>
        <w:t>每次升级软件，软件版本要相应的升级。特殊情况下（国祥特殊要求时），可商讨确定通过其他方式标识区别；</w:t>
      </w:r>
    </w:p>
    <w:p>
      <w:pPr>
        <w:numPr>
          <w:ilvl w:val="0"/>
          <w:numId w:val="17"/>
        </w:numPr>
        <w:ind w:firstLineChars="0"/>
      </w:pPr>
      <w:r>
        <w:rPr>
          <w:rFonts w:hint="eastAsia"/>
        </w:rPr>
        <w:t>软件通过IAP方式（供方提供的维护软件或由国祥制定的统一方式）更新。更新时，部件软件需要对接收到的程序文件进行完整性、正确性校验，不允许出现更新失败后部件功能丧失的情况。</w:t>
      </w:r>
    </w:p>
    <w:p>
      <w:pPr>
        <w:numPr>
          <w:ilvl w:val="0"/>
          <w:numId w:val="17"/>
        </w:numPr>
        <w:ind w:firstLineChars="0"/>
      </w:pPr>
      <w:r>
        <w:rPr>
          <w:rFonts w:hint="eastAsia"/>
        </w:rPr>
        <w:t>软件更新不应限制版本号、项目号，只要部件型号一致的软件均允许更新，型号不一样的软件禁止更新；</w:t>
      </w:r>
    </w:p>
    <w:p>
      <w:pPr>
        <w:numPr>
          <w:ilvl w:val="0"/>
          <w:numId w:val="17"/>
        </w:numPr>
        <w:ind w:firstLineChars="0"/>
      </w:pPr>
      <w:r>
        <w:rPr>
          <w:rFonts w:hint="eastAsia"/>
        </w:rPr>
        <w:t>软件每次发布时，需提供正式的软件功能说明书、通信协议、软件测试报告（需详细列述测试项点）、软件发布说明（包含变更项点）、软件更新操作说明（以上所有文件仅首次或文档更新时提供）。</w:t>
      </w:r>
    </w:p>
    <w:p>
      <w:pPr>
        <w:pStyle w:val="4"/>
        <w:spacing w:before="24" w:after="24"/>
      </w:pPr>
      <w:r>
        <w:rPr>
          <w:rFonts w:hint="eastAsia"/>
        </w:rPr>
        <w:t>管理办法</w:t>
      </w:r>
    </w:p>
    <w:p>
      <w:pPr>
        <w:ind w:firstLine="480"/>
      </w:pPr>
      <w:r>
        <w:rPr>
          <w:rFonts w:hint="eastAsia"/>
        </w:rPr>
        <w:t>部件首次使用时，供方与国祥工程师联调至基本功能正常，满足项目要求后，部件初版软件定版为1.00版并首次发布。</w:t>
      </w:r>
    </w:p>
    <w:p>
      <w:pPr>
        <w:numPr>
          <w:ilvl w:val="0"/>
          <w:numId w:val="18"/>
        </w:numPr>
        <w:ind w:firstLineChars="0"/>
      </w:pPr>
      <w:r>
        <w:rPr>
          <w:rFonts w:hint="eastAsia"/>
        </w:rPr>
        <w:t>因</w:t>
      </w:r>
      <w:r>
        <w:rPr>
          <w:rFonts w:hint="eastAsia"/>
          <w:szCs w:val="22"/>
        </w:rPr>
        <w:t>供方技术升级、软件缺陷提出的变更，需事先邮件与国祥技术确认，之后发起变更。</w:t>
      </w:r>
    </w:p>
    <w:p>
      <w:pPr>
        <w:pStyle w:val="2"/>
        <w:spacing w:before="240" w:after="120"/>
      </w:pPr>
      <w:bookmarkStart w:id="99" w:name="_Toc23276"/>
      <w:r>
        <w:t>试验要求</w:t>
      </w:r>
      <w:bookmarkEnd w:id="99"/>
    </w:p>
    <w:p>
      <w:pPr>
        <w:ind w:firstLine="480"/>
      </w:pPr>
      <w:r>
        <w:t>下述试验由供应商负责，供应商需向国祥提供进行下述试验的具体时间，以方便国祥技术人员一起参加上述试验，并且供应商需向国祥提供相关试验报告。</w:t>
      </w:r>
    </w:p>
    <w:p>
      <w:pPr>
        <w:pStyle w:val="3"/>
        <w:tabs>
          <w:tab w:val="left" w:pos="0"/>
          <w:tab w:val="clear" w:pos="567"/>
        </w:tabs>
        <w:spacing w:before="120"/>
      </w:pPr>
      <w:bookmarkStart w:id="100" w:name="_Toc12336"/>
      <w:r>
        <w:t>供应商应编制试验大纲，由国祥批准。</w:t>
      </w:r>
      <w:bookmarkEnd w:id="100"/>
    </w:p>
    <w:p>
      <w:pPr>
        <w:ind w:firstLine="480"/>
      </w:pPr>
      <w:r>
        <w:t>例行试验至少要包括以下内容：</w:t>
      </w:r>
    </w:p>
    <w:p>
      <w:pPr>
        <w:pStyle w:val="16"/>
        <w:ind w:firstLine="400"/>
        <w:jc w:val="center"/>
        <w:rPr>
          <w:b/>
          <w:bC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7</w:t>
      </w:r>
      <w:r>
        <w:fldChar w:fldCharType="end"/>
      </w:r>
      <w:r>
        <w:rPr>
          <w:rFonts w:hint="eastAsia"/>
        </w:rPr>
        <w:t xml:space="preserve"> 试验清单</w:t>
      </w:r>
    </w:p>
    <w:tbl>
      <w:tblPr>
        <w:tblStyle w:val="60"/>
        <w:tblW w:w="89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687"/>
        <w:gridCol w:w="2263"/>
        <w:gridCol w:w="4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序号</w:t>
            </w:r>
          </w:p>
        </w:tc>
        <w:tc>
          <w:tcPr>
            <w:tcW w:w="168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试验</w:t>
            </w:r>
          </w:p>
        </w:tc>
        <w:tc>
          <w:tcPr>
            <w:tcW w:w="2263"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试验工况</w:t>
            </w:r>
          </w:p>
        </w:tc>
        <w:tc>
          <w:tcPr>
            <w:tcW w:w="42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待检查项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1</w:t>
            </w:r>
          </w:p>
        </w:tc>
        <w:tc>
          <w:tcPr>
            <w:tcW w:w="168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目检</w:t>
            </w:r>
          </w:p>
        </w:tc>
        <w:tc>
          <w:tcPr>
            <w:tcW w:w="2263"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rPr>
              <w:t>EN50155，13.4.1部分</w:t>
            </w:r>
          </w:p>
        </w:tc>
        <w:tc>
          <w:tcPr>
            <w:tcW w:w="42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2</w:t>
            </w:r>
          </w:p>
        </w:tc>
        <w:tc>
          <w:tcPr>
            <w:tcW w:w="168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性能试验</w:t>
            </w:r>
          </w:p>
        </w:tc>
        <w:tc>
          <w:tcPr>
            <w:tcW w:w="2263"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EN50155，13.4.2部分</w:t>
            </w:r>
          </w:p>
        </w:tc>
        <w:tc>
          <w:tcPr>
            <w:tcW w:w="42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检查所有输入和输出、通讯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3</w:t>
            </w:r>
          </w:p>
        </w:tc>
        <w:tc>
          <w:tcPr>
            <w:tcW w:w="168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绝缘试验</w:t>
            </w:r>
          </w:p>
        </w:tc>
        <w:tc>
          <w:tcPr>
            <w:tcW w:w="2263"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EN50155，13.4.9部分</w:t>
            </w:r>
          </w:p>
        </w:tc>
        <w:tc>
          <w:tcPr>
            <w:tcW w:w="42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绝缘</w:t>
            </w:r>
          </w:p>
        </w:tc>
      </w:tr>
    </w:tbl>
    <w:p>
      <w:pPr>
        <w:ind w:firstLine="480"/>
      </w:pPr>
      <w:r>
        <w:t>型式试验至少包括以下内容：</w:t>
      </w:r>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8</w:t>
      </w:r>
      <w:r>
        <w:fldChar w:fldCharType="end"/>
      </w:r>
      <w:r>
        <w:rPr>
          <w:rFonts w:hint="eastAsia"/>
        </w:rPr>
        <w:t xml:space="preserve"> 试验清单</w:t>
      </w:r>
    </w:p>
    <w:tbl>
      <w:tblPr>
        <w:tblStyle w:val="60"/>
        <w:tblW w:w="8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701"/>
        <w:gridCol w:w="2268"/>
        <w:gridCol w:w="4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序号</w:t>
            </w:r>
          </w:p>
        </w:tc>
        <w:tc>
          <w:tcPr>
            <w:tcW w:w="1701"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试验</w:t>
            </w:r>
          </w:p>
        </w:tc>
        <w:tc>
          <w:tcPr>
            <w:tcW w:w="2268"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执行标准</w:t>
            </w:r>
          </w:p>
        </w:tc>
        <w:tc>
          <w:tcPr>
            <w:tcW w:w="4212"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待检查项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目检</w:t>
            </w:r>
          </w:p>
        </w:tc>
        <w:tc>
          <w:tcPr>
            <w:tcW w:w="226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rPr>
              <w:t>EN50155，13.4.1部分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2</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性能试验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EN50155，13.4.2部分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检查所有输入和输出、通讯、时钟、和电源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3</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干热试验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EN50155，13.4.5部分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r>
              <w:rPr>
                <w:rFonts w:hint="eastAsia"/>
                <w:lang w:val="en-GB"/>
              </w:rPr>
              <w:t>, 按照循环</w:t>
            </w:r>
            <w:r>
              <w:rPr>
                <w:rFonts w:hint="default"/>
                <w:lang w:val="en-GB"/>
              </w:rPr>
              <w:t>B</w:t>
            </w:r>
            <w:r>
              <w:rPr>
                <w:rFonts w:hint="eastAsia"/>
                <w:lang w:val="en-GB"/>
              </w:rPr>
              <w:t>试验条件执行。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4</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湿热试验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EN50155，13.4.7部分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5</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绝缘试验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EN50155，13.4.9部分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绝缘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6</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低温存储试验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w:t>
            </w:r>
            <w:r>
              <w:rPr>
                <w:rFonts w:hint="eastAsia"/>
              </w:rPr>
              <w:t>，1</w:t>
            </w:r>
            <w:r>
              <w:rPr>
                <w:rFonts w:hint="default"/>
              </w:rPr>
              <w:t>3.4.6部分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7</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低温启动试验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w:t>
            </w:r>
            <w:r>
              <w:rPr>
                <w:rFonts w:hint="eastAsia"/>
              </w:rPr>
              <w:t>，1</w:t>
            </w:r>
            <w:r>
              <w:rPr>
                <w:rFonts w:hint="default"/>
              </w:rPr>
              <w:t>3.4.4部分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8</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振动试验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IEC61373</w:t>
            </w:r>
          </w:p>
        </w:tc>
        <w:tc>
          <w:tcPr>
            <w:tcW w:w="4212" w:type="dxa"/>
            <w:vAlign w:val="center"/>
          </w:tcPr>
          <w:p>
            <w:pPr>
              <w:pStyle w:val="156"/>
              <w:keepNext w:val="0"/>
              <w:keepLines w:val="0"/>
              <w:widowControl/>
              <w:suppressLineNumbers w:val="0"/>
              <w:spacing w:beforeAutospacing="0" w:after="0" w:afterAutospacing="0"/>
              <w:ind w:left="0" w:right="0" w:firstLine="420" w:firstLineChars="200"/>
              <w:jc w:val="left"/>
              <w:rPr>
                <w:rFonts w:hint="default"/>
                <w:lang w:val="en-GB"/>
              </w:rPr>
            </w:pPr>
            <w:r>
              <w:rPr>
                <w:rFonts w:hint="eastAsia"/>
                <w:lang w:val="en-GB"/>
              </w:rPr>
              <w:t>满足</w:t>
            </w:r>
            <w:r>
              <w:rPr>
                <w:rFonts w:hint="default"/>
                <w:lang w:val="en-GB"/>
              </w:rPr>
              <w:t>EN50155</w:t>
            </w:r>
            <w:r>
              <w:rPr>
                <w:rFonts w:hint="eastAsia"/>
                <w:lang w:val="en-GB"/>
              </w:rPr>
              <w:t>：</w:t>
            </w:r>
            <w:r>
              <w:rPr>
                <w:rFonts w:hint="default"/>
                <w:lang w:val="en-GB"/>
              </w:rPr>
              <w:t>13.4.9</w:t>
            </w:r>
            <w:r>
              <w:rPr>
                <w:rFonts w:hint="eastAsia"/>
                <w:lang w:val="en-GB"/>
              </w:rPr>
              <w:t>节（</w:t>
            </w:r>
            <w:r>
              <w:rPr>
                <w:rFonts w:hint="default"/>
                <w:lang w:val="en-GB"/>
              </w:rPr>
              <w:t>EN61373</w:t>
            </w:r>
            <w:r>
              <w:rPr>
                <w:rFonts w:hint="eastAsia"/>
                <w:lang w:val="en-GB"/>
              </w:rPr>
              <w:t>中</w:t>
            </w:r>
            <w:r>
              <w:rPr>
                <w:rFonts w:hint="default"/>
                <w:lang w:val="en-GB"/>
              </w:rPr>
              <w:t>1</w:t>
            </w:r>
            <w:r>
              <w:rPr>
                <w:rFonts w:hint="eastAsia"/>
                <w:lang w:val="en-GB"/>
              </w:rPr>
              <w:t>类</w:t>
            </w:r>
            <w:r>
              <w:rPr>
                <w:rFonts w:hint="default"/>
                <w:lang w:val="en-GB"/>
              </w:rPr>
              <w:t>B</w:t>
            </w:r>
            <w:r>
              <w:rPr>
                <w:rFonts w:hint="eastAsia"/>
                <w:lang w:val="en-GB"/>
              </w:rPr>
              <w:t>级）要求，试验需在第三方试验室进行并出具报告，且试验室试验室需具有</w:t>
            </w:r>
            <w:r>
              <w:rPr>
                <w:rFonts w:hint="default"/>
                <w:lang w:val="en-GB"/>
              </w:rPr>
              <w:t>CNAS</w:t>
            </w:r>
            <w:r>
              <w:rPr>
                <w:rFonts w:hint="eastAsia"/>
                <w:lang w:val="en-GB"/>
              </w:rPr>
              <w:t>及相应标准资格认证。</w:t>
            </w:r>
          </w:p>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1模拟长寿命试验</w:t>
            </w:r>
          </w:p>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2冲击试验</w:t>
            </w:r>
          </w:p>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3功能性随机振动试验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9</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EMC试验</w:t>
            </w:r>
          </w:p>
        </w:tc>
        <w:tc>
          <w:tcPr>
            <w:tcW w:w="2268" w:type="dxa"/>
            <w:vAlign w:val="center"/>
          </w:tcPr>
          <w:p>
            <w:pPr>
              <w:pStyle w:val="156"/>
              <w:keepNext w:val="0"/>
              <w:keepLines w:val="0"/>
              <w:widowControl/>
              <w:suppressLineNumbers w:val="0"/>
              <w:spacing w:beforeAutospacing="0" w:after="0" w:afterAutospacing="0"/>
              <w:ind w:left="0" w:right="0"/>
              <w:jc w:val="left"/>
              <w:rPr>
                <w:rFonts w:hint="default"/>
              </w:rPr>
            </w:pPr>
            <w:r>
              <w:rPr>
                <w:rFonts w:hint="default"/>
              </w:rPr>
              <w:t>EN 50121-3-2</w:t>
            </w:r>
          </w:p>
          <w:p>
            <w:pPr>
              <w:pStyle w:val="156"/>
              <w:keepNext w:val="0"/>
              <w:keepLines w:val="0"/>
              <w:widowControl/>
              <w:suppressLineNumbers w:val="0"/>
              <w:spacing w:beforeAutospacing="0" w:after="0" w:afterAutospacing="0"/>
              <w:ind w:left="0" w:right="0"/>
              <w:jc w:val="left"/>
              <w:rPr>
                <w:rFonts w:hint="default"/>
              </w:rPr>
            </w:pPr>
            <w:r>
              <w:rPr>
                <w:rFonts w:hint="eastAsia"/>
              </w:rPr>
              <w:t>EN</w:t>
            </w:r>
            <w:r>
              <w:rPr>
                <w:rFonts w:hint="default"/>
              </w:rPr>
              <w:t xml:space="preserve"> 50155</w:t>
            </w:r>
          </w:p>
          <w:p>
            <w:pPr>
              <w:pStyle w:val="156"/>
              <w:keepNext w:val="0"/>
              <w:keepLines w:val="0"/>
              <w:widowControl/>
              <w:suppressLineNumbers w:val="0"/>
              <w:spacing w:beforeAutospacing="0" w:after="0" w:afterAutospacing="0"/>
              <w:ind w:left="0" w:right="0"/>
              <w:jc w:val="left"/>
              <w:rPr>
                <w:rFonts w:hint="default"/>
              </w:rPr>
            </w:pPr>
            <w:r>
              <w:rPr>
                <w:rFonts w:hint="eastAsia"/>
                <w:lang w:val="en-GB"/>
              </w:rPr>
              <w:t>《</w:t>
            </w:r>
            <w:r>
              <w:rPr>
                <w:rFonts w:hint="default"/>
                <w:lang w:val="en-GB"/>
              </w:rPr>
              <w:t xml:space="preserve">BZDT1111-CG-G100-001 </w:t>
            </w:r>
            <w:r>
              <w:rPr>
                <w:rFonts w:hint="eastAsia"/>
                <w:lang w:val="en-GB"/>
              </w:rPr>
              <w:t>系列化中国标准地铁列车研制及试验项目电磁兼容通用技术条件》</w:t>
            </w:r>
          </w:p>
        </w:tc>
        <w:tc>
          <w:tcPr>
            <w:tcW w:w="4212" w:type="dxa"/>
            <w:vAlign w:val="center"/>
          </w:tcPr>
          <w:p>
            <w:pPr>
              <w:pStyle w:val="156"/>
              <w:keepNext w:val="0"/>
              <w:keepLines w:val="0"/>
              <w:widowControl/>
              <w:suppressLineNumbers w:val="0"/>
              <w:spacing w:beforeAutospacing="0" w:after="0" w:afterAutospacing="0"/>
              <w:ind w:left="0" w:right="0" w:firstLine="480"/>
              <w:jc w:val="left"/>
              <w:rPr>
                <w:rFonts w:hint="default"/>
                <w:lang w:val="en-GB"/>
              </w:rPr>
            </w:pPr>
            <w:r>
              <w:rPr>
                <w:rFonts w:hint="eastAsia"/>
                <w:lang w:val="en-GB"/>
              </w:rPr>
              <w:t>满足《</w:t>
            </w:r>
            <w:r>
              <w:rPr>
                <w:rFonts w:hint="default"/>
                <w:lang w:val="en-GB"/>
              </w:rPr>
              <w:t xml:space="preserve">BZDT1111-CG-G100-001 </w:t>
            </w:r>
            <w:r>
              <w:rPr>
                <w:rFonts w:hint="eastAsia"/>
                <w:lang w:val="en-GB"/>
              </w:rPr>
              <w:t>系列化中国标准地铁列车研制及试验项目电磁兼容通用技术条件》要求，试验需在第三方试验室进行并出具报告，且试验室试验室需具有CNAS及相应标准资格认证。</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1传导</w:t>
            </w:r>
            <w:r>
              <w:rPr>
                <w:rFonts w:hint="eastAsia"/>
                <w:lang w:val="en-GB"/>
              </w:rPr>
              <w:t>发射</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2辐射</w:t>
            </w:r>
            <w:r>
              <w:rPr>
                <w:rFonts w:hint="eastAsia"/>
                <w:lang w:val="en-GB"/>
              </w:rPr>
              <w:t>电场发射</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3</w:t>
            </w:r>
            <w:r>
              <w:rPr>
                <w:rFonts w:hint="eastAsia"/>
                <w:lang w:val="en-GB"/>
              </w:rPr>
              <w:t>射频电磁场辐射</w:t>
            </w:r>
            <w:r>
              <w:rPr>
                <w:rFonts w:hint="default"/>
                <w:lang w:val="en-GB"/>
              </w:rPr>
              <w:t>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4</w:t>
            </w:r>
            <w:r>
              <w:rPr>
                <w:rFonts w:hint="eastAsia"/>
                <w:lang w:val="en-GB"/>
              </w:rPr>
              <w:t>射频场感应的传导骚扰抗扰度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5</w:t>
            </w:r>
            <w:r>
              <w:rPr>
                <w:rFonts w:hint="eastAsia"/>
                <w:lang w:val="en-GB"/>
              </w:rPr>
              <w:t>电快速瞬变脉冲群抗扰度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6</w:t>
            </w:r>
            <w:r>
              <w:rPr>
                <w:rFonts w:hint="eastAsia"/>
                <w:lang w:val="en-GB"/>
              </w:rPr>
              <w:t>浪涌抗扰度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7静电放电抗扰度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8</w:t>
            </w:r>
            <w:r>
              <w:rPr>
                <w:rFonts w:hint="eastAsia"/>
                <w:lang w:val="en-GB"/>
              </w:rPr>
              <w:t>工频磁场抗扰度</w:t>
            </w:r>
            <w:r>
              <w:rPr>
                <w:rFonts w:hint="default"/>
                <w:lang w:val="en-GB"/>
              </w:rPr>
              <w:t>试验</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9</w:t>
            </w:r>
            <w:r>
              <w:rPr>
                <w:rFonts w:hint="eastAsia"/>
                <w:lang w:val="en-GB"/>
              </w:rPr>
              <w:t>电压暂降、短时中断和电压变化抗扰度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10</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长周期</w:t>
            </w:r>
            <w:r>
              <w:rPr>
                <w:rFonts w:hint="default"/>
                <w:lang w:val="en-GB"/>
              </w:rPr>
              <w:t>通断电试验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c>
          <w:tcPr>
            <w:tcW w:w="4212" w:type="dxa"/>
            <w:vAlign w:val="center"/>
          </w:tcPr>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12个小时</w:t>
            </w:r>
            <w:r>
              <w:rPr>
                <w:rFonts w:hint="default"/>
                <w:lang w:val="en-GB"/>
              </w:rPr>
              <w:t>连续通断电，</w:t>
            </w:r>
            <w:r>
              <w:rPr>
                <w:rFonts w:hint="eastAsia"/>
                <w:lang w:val="en-GB"/>
              </w:rPr>
              <w:t>每30</w:t>
            </w:r>
            <w:r>
              <w:rPr>
                <w:rFonts w:hint="default"/>
                <w:lang w:val="en-GB"/>
              </w:rPr>
              <w:t>S通断电</w:t>
            </w:r>
            <w:r>
              <w:rPr>
                <w:rFonts w:hint="eastAsia"/>
                <w:lang w:val="en-GB"/>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11</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盐雾试验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IEC60571</w:t>
            </w:r>
          </w:p>
        </w:tc>
        <w:tc>
          <w:tcPr>
            <w:tcW w:w="4212" w:type="dxa"/>
            <w:vAlign w:val="center"/>
          </w:tcPr>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PCB</w:t>
            </w:r>
            <w:r>
              <w:rPr>
                <w:rFonts w:hint="eastAsia"/>
                <w:lang w:val="en-GB"/>
              </w:rPr>
              <w:t>板满足</w:t>
            </w:r>
            <w:r>
              <w:rPr>
                <w:rFonts w:hint="default"/>
                <w:lang w:val="en-GB"/>
              </w:rPr>
              <w:t>IEC 60571</w:t>
            </w:r>
            <w:r>
              <w:rPr>
                <w:rFonts w:hint="eastAsia"/>
                <w:lang w:val="en-GB"/>
              </w:rPr>
              <w:t>：</w:t>
            </w:r>
            <w:r>
              <w:rPr>
                <w:rFonts w:hint="default"/>
                <w:lang w:val="en-GB"/>
              </w:rPr>
              <w:t>12.2.11</w:t>
            </w:r>
            <w:r>
              <w:rPr>
                <w:rFonts w:hint="eastAsia"/>
                <w:lang w:val="en-GB"/>
              </w:rPr>
              <w:t>（</w:t>
            </w:r>
            <w:r>
              <w:rPr>
                <w:rFonts w:hint="default"/>
                <w:lang w:val="en-GB"/>
              </w:rPr>
              <w:t>ST4</w:t>
            </w:r>
            <w:r>
              <w:rPr>
                <w:rFonts w:hint="eastAsia"/>
                <w:lang w:val="en-GB"/>
              </w:rPr>
              <w:t>等级）要求</w:t>
            </w:r>
          </w:p>
        </w:tc>
      </w:tr>
    </w:tbl>
    <w:p>
      <w:pPr>
        <w:ind w:firstLine="480"/>
      </w:pPr>
      <w:r>
        <w:t>当控制器硬件变动时，如涉及到EMC电气改动，需根据项目要求进行型式试验。</w:t>
      </w:r>
    </w:p>
    <w:p>
      <w:pPr>
        <w:pStyle w:val="2"/>
        <w:spacing w:before="240" w:after="120"/>
      </w:pPr>
      <w:bookmarkStart w:id="101" w:name="_Toc10302"/>
      <w:r>
        <w:t>供应商的工作</w:t>
      </w:r>
      <w:bookmarkEnd w:id="101"/>
    </w:p>
    <w:p>
      <w:pPr>
        <w:pStyle w:val="3"/>
        <w:tabs>
          <w:tab w:val="left" w:pos="0"/>
          <w:tab w:val="clear" w:pos="567"/>
        </w:tabs>
        <w:spacing w:before="120"/>
      </w:pPr>
      <w:bookmarkStart w:id="102" w:name="_Toc20533"/>
      <w:r>
        <w:t>根据国祥提供的技术条件进行试制。</w:t>
      </w:r>
      <w:bookmarkEnd w:id="102"/>
    </w:p>
    <w:p>
      <w:pPr>
        <w:pStyle w:val="3"/>
        <w:tabs>
          <w:tab w:val="left" w:pos="0"/>
          <w:tab w:val="clear" w:pos="567"/>
        </w:tabs>
        <w:spacing w:before="120"/>
      </w:pPr>
      <w:bookmarkStart w:id="103" w:name="_Toc220"/>
      <w:r>
        <w:t>编制型式试验和例行试验大纲。</w:t>
      </w:r>
      <w:bookmarkEnd w:id="103"/>
    </w:p>
    <w:p>
      <w:pPr>
        <w:ind w:firstLine="480"/>
      </w:pPr>
      <w:r>
        <w:t>根据本技术条件，编制型式试验和例行试验大纲，并提交国祥进行审查。</w:t>
      </w:r>
    </w:p>
    <w:p>
      <w:pPr>
        <w:ind w:firstLine="480"/>
      </w:pPr>
      <w:r>
        <w:rPr>
          <w:rFonts w:hint="eastAsia"/>
        </w:rPr>
        <w:t>根据已确定的试验大纲，按要求进行各种试验并提交试验报告。</w:t>
      </w:r>
    </w:p>
    <w:p>
      <w:pPr>
        <w:pStyle w:val="3"/>
        <w:tabs>
          <w:tab w:val="left" w:pos="0"/>
          <w:tab w:val="clear" w:pos="567"/>
        </w:tabs>
        <w:spacing w:before="120"/>
      </w:pPr>
      <w:bookmarkStart w:id="104" w:name="_Toc10867"/>
      <w:r>
        <w:t>提交材料证明报告</w:t>
      </w:r>
      <w:bookmarkEnd w:id="104"/>
    </w:p>
    <w:p>
      <w:pPr>
        <w:ind w:firstLine="480"/>
      </w:pPr>
      <w:r>
        <w:t>对所有使用的材料必须给出牌号、名称、采用标准及应用部件，并列出清单。</w:t>
      </w:r>
    </w:p>
    <w:p>
      <w:pPr>
        <w:ind w:firstLine="480"/>
      </w:pPr>
      <w:r>
        <w:rPr>
          <w:rFonts w:hint="eastAsia"/>
        </w:rPr>
        <w:t>PCB板提供EN45545-2 R24/R25(HL3)等级报告，其他非金属材料提供R22/R23/R26 (HL3)等级报告。</w:t>
      </w:r>
    </w:p>
    <w:p>
      <w:pPr>
        <w:ind w:firstLine="480"/>
      </w:pPr>
      <w:r>
        <w:t>禁止使用以下材料：PVC、石棉或包含石棉的材料、玻璃纤维、铅（包括铅钼合金）、胶合板、木板、热塑薄板、PCBs（多氯联苯）、PCT（聚己内酰胺）、CHC（含氯氟烃）、聚亚氨脂泡沫材料、铝螺纹紧固件、抗微生物剂、公共交通运输标准所禁止使用的材料。</w:t>
      </w:r>
    </w:p>
    <w:p>
      <w:pPr>
        <w:pStyle w:val="3"/>
        <w:tabs>
          <w:tab w:val="left" w:pos="0"/>
          <w:tab w:val="clear" w:pos="567"/>
        </w:tabs>
        <w:spacing w:before="120"/>
      </w:pPr>
      <w:bookmarkStart w:id="105" w:name="_Toc7030"/>
      <w:r>
        <w:t>供货试装车，配合运行考核及负责可能的整改。</w:t>
      </w:r>
      <w:bookmarkEnd w:id="105"/>
    </w:p>
    <w:p>
      <w:pPr>
        <w:pStyle w:val="2"/>
        <w:spacing w:before="240" w:after="120"/>
      </w:pPr>
      <w:bookmarkStart w:id="106" w:name="_Toc24006"/>
      <w:r>
        <w:t>技术资料及随机提供物品</w:t>
      </w:r>
      <w:bookmarkEnd w:id="106"/>
    </w:p>
    <w:p>
      <w:pPr>
        <w:pStyle w:val="3"/>
        <w:tabs>
          <w:tab w:val="left" w:pos="0"/>
          <w:tab w:val="clear" w:pos="567"/>
        </w:tabs>
        <w:spacing w:before="120"/>
      </w:pPr>
      <w:bookmarkStart w:id="107" w:name="_Toc31421"/>
      <w:r>
        <w:t>技术文件</w:t>
      </w:r>
      <w:bookmarkEnd w:id="107"/>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9</w:t>
      </w:r>
      <w:r>
        <w:fldChar w:fldCharType="end"/>
      </w:r>
      <w:r>
        <w:rPr>
          <w:rFonts w:hint="eastAsia"/>
        </w:rPr>
        <w:t xml:space="preserve"> 技术文件清单</w:t>
      </w:r>
    </w:p>
    <w:tbl>
      <w:tblPr>
        <w:tblStyle w:val="6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254"/>
        <w:gridCol w:w="1554"/>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序号</w:t>
            </w:r>
          </w:p>
        </w:tc>
        <w:tc>
          <w:tcPr>
            <w:tcW w:w="3254"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要求</w:t>
            </w:r>
          </w:p>
        </w:tc>
        <w:tc>
          <w:tcPr>
            <w:tcW w:w="1554"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随主机提供</w:t>
            </w:r>
          </w:p>
        </w:tc>
        <w:tc>
          <w:tcPr>
            <w:tcW w:w="2670"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首批前提供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1</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例行实验大纲</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2</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例行实验报告（出厂）</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3</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型式实验大纲</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4</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型式实验报告</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1277" w:type="dxa"/>
            <w:tcBorders>
              <w:bottom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5</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烟火报告</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6</w:t>
            </w:r>
          </w:p>
        </w:tc>
        <w:tc>
          <w:tcPr>
            <w:tcW w:w="325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用户手册（使用维护与保养说明书）</w:t>
            </w:r>
          </w:p>
        </w:tc>
        <w:tc>
          <w:tcPr>
            <w:tcW w:w="1554"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Borders>
              <w:top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7</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合格证</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8</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签字版CBC（技术条件相应）</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9</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关键零部件清单</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10</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三维模型及二维图纸</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11</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部件应用的支撑资料（硬件图纸、软件驱动、调试软件等）</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ascii="宋体" w:hAnsi="宋体"/>
                <w:sz w:val="24"/>
              </w:rPr>
            </w:pPr>
            <w:r>
              <w:rPr>
                <w:rFonts w:hint="eastAsia" w:ascii="宋体" w:hAnsi="宋体"/>
                <w:sz w:val="24"/>
              </w:rPr>
              <w:t>根据项目应用具体情况，如需要，则国祥会再次提起具体清单。</w:t>
            </w:r>
          </w:p>
        </w:tc>
      </w:tr>
    </w:tbl>
    <w:p>
      <w:pPr>
        <w:ind w:firstLine="480"/>
      </w:pPr>
      <w:r>
        <w:rPr>
          <w:rFonts w:hint="eastAsia"/>
        </w:rPr>
        <w:t>注1：至少应包含1.部件原理介绍，拓扑图；2.详细接口定义；3.通讯协议；4.部件参数列表及说明；5.可调参数、拨码开关等的列表及说明；6.外形尺寸二维图纸；7.使用注意事项；8.装箱清单；9.RAMS技术文件；</w:t>
      </w:r>
    </w:p>
    <w:p>
      <w:pPr>
        <w:ind w:firstLine="480"/>
      </w:pPr>
      <w:r>
        <w:rPr>
          <w:rFonts w:hint="eastAsia"/>
        </w:rPr>
        <w:t>注2：外形轮廓、安装尺寸等标注齐全、清晰，需标注公差。</w:t>
      </w:r>
    </w:p>
    <w:p>
      <w:pPr>
        <w:ind w:firstLine="480"/>
      </w:pPr>
      <w:r>
        <w:rPr>
          <w:rFonts w:hint="eastAsia"/>
        </w:rPr>
        <w:t>注3：检修周期，检修维护的步骤、使用的工具以及易损易耗件清单。</w:t>
      </w:r>
    </w:p>
    <w:p>
      <w:pPr>
        <w:pStyle w:val="3"/>
        <w:tabs>
          <w:tab w:val="left" w:pos="0"/>
          <w:tab w:val="clear" w:pos="567"/>
        </w:tabs>
        <w:spacing w:before="120"/>
      </w:pPr>
      <w:bookmarkStart w:id="108" w:name="_Toc19540"/>
      <w:r>
        <w:t>合格证</w:t>
      </w:r>
      <w:bookmarkEnd w:id="108"/>
    </w:p>
    <w:p>
      <w:pPr>
        <w:ind w:firstLine="480"/>
      </w:pPr>
      <w:r>
        <w:t>a. 制造工厂名称；</w:t>
      </w:r>
    </w:p>
    <w:p>
      <w:pPr>
        <w:ind w:firstLine="480"/>
      </w:pPr>
      <w:r>
        <w:t>b. 产品名称、规格；</w:t>
      </w:r>
    </w:p>
    <w:p>
      <w:pPr>
        <w:ind w:firstLine="480"/>
      </w:pPr>
      <w:r>
        <w:t>c. 制造日期（年月日）；</w:t>
      </w:r>
    </w:p>
    <w:p>
      <w:pPr>
        <w:ind w:firstLine="480"/>
      </w:pPr>
      <w:r>
        <w:t>d. 产品编号；</w:t>
      </w:r>
    </w:p>
    <w:p>
      <w:pPr>
        <w:ind w:firstLine="480"/>
      </w:pPr>
      <w:r>
        <w:t>e. 检验人员印章。</w:t>
      </w:r>
    </w:p>
    <w:p>
      <w:pPr>
        <w:pStyle w:val="2"/>
        <w:spacing w:before="240" w:after="120"/>
      </w:pPr>
      <w:bookmarkStart w:id="109" w:name="_Toc8591"/>
      <w:r>
        <w:t>包装及贮存</w:t>
      </w:r>
      <w:bookmarkEnd w:id="109"/>
      <w:r>
        <w:t xml:space="preserve"> </w:t>
      </w:r>
    </w:p>
    <w:p>
      <w:pPr>
        <w:ind w:firstLine="480"/>
      </w:pPr>
      <w:r>
        <w:t xml:space="preserve"> </w:t>
      </w:r>
      <w:r>
        <w:rPr>
          <w:rFonts w:hint="eastAsia"/>
        </w:rPr>
        <w:t>IO模块</w:t>
      </w:r>
      <w:r>
        <w:t>在制造试验完毕后，应采取有效措施，防止异物进入装置内部。</w:t>
      </w:r>
    </w:p>
    <w:p>
      <w:pPr>
        <w:ind w:firstLine="480"/>
      </w:pPr>
      <w:r>
        <w:t xml:space="preserve"> 包装及发货标志应符合有关规定。</w:t>
      </w:r>
    </w:p>
    <w:p>
      <w:pPr>
        <w:ind w:firstLine="480"/>
      </w:pPr>
      <w:r>
        <w:t xml:space="preserve"> 每台控制器需在外壳固定位置标识生产序列号，方案需提交国祥确认后实施。</w:t>
      </w:r>
    </w:p>
    <w:p>
      <w:pPr>
        <w:ind w:firstLine="480"/>
      </w:pPr>
      <w:r>
        <w:t xml:space="preserve"> 发货时所有连接器插头应随控制器一起发送；标注型号并粘贴型号于包装上。包装箱内有明确的附件清单。</w:t>
      </w:r>
    </w:p>
    <w:p>
      <w:pPr>
        <w:pStyle w:val="2"/>
        <w:spacing w:before="240" w:after="120"/>
      </w:pPr>
      <w:bookmarkStart w:id="110" w:name="_Toc14728"/>
      <w:r>
        <w:t>其它事项</w:t>
      </w:r>
      <w:bookmarkEnd w:id="110"/>
    </w:p>
    <w:p>
      <w:pPr>
        <w:ind w:firstLine="480"/>
      </w:pPr>
      <w:r>
        <w:t>供应商有义务对直接及间接用户进行培训及现场指导，使用户清楚了解其基本原理、基本结构、使用维护及检修方法。</w:t>
      </w:r>
    </w:p>
    <w:p>
      <w:pPr>
        <w:ind w:firstLine="480"/>
      </w:pPr>
      <w:r>
        <w:t>供应商应及时了解其产品在段运行使用情况，及时改进设计及制造工艺，以提高产品的质量。控制器使用期间，供应商应及时提供技术支持，应在24小时内对发生的质量问题给予答复，并及时提供维修服务。</w:t>
      </w:r>
    </w:p>
    <w:p>
      <w:pPr>
        <w:ind w:firstLine="480"/>
      </w:pPr>
      <w:r>
        <w:t>从样机验证合格后控制器硬件的任何变更都须书面申请，经国祥同意后升级为相应版本。</w:t>
      </w:r>
    </w:p>
    <w:p>
      <w:pPr>
        <w:ind w:firstLine="480"/>
      </w:pPr>
      <w:r>
        <w:t>采用此系列控制器模块组装后的平均无故障时间不低于</w:t>
      </w:r>
      <w:r>
        <w:rPr>
          <w:rFonts w:hint="eastAsia"/>
        </w:rPr>
        <w:t>3</w:t>
      </w:r>
      <w:r>
        <w:t>0 0000小时。</w:t>
      </w:r>
    </w:p>
    <w:p>
      <w:pPr>
        <w:ind w:firstLine="480"/>
      </w:pPr>
      <w:r>
        <w:t>技术条件中未尽事宜，另行协商解决。</w:t>
      </w:r>
    </w:p>
    <w:p>
      <w:pPr>
        <w:widowControl/>
        <w:spacing w:line="240" w:lineRule="auto"/>
        <w:ind w:firstLine="0" w:firstLineChars="0"/>
        <w:jc w:val="left"/>
      </w:pPr>
      <w:r>
        <w:br w:type="page"/>
      </w:r>
    </w:p>
    <w:p>
      <w:pPr>
        <w:pStyle w:val="2"/>
        <w:numPr>
          <w:ilvl w:val="0"/>
          <w:numId w:val="0"/>
        </w:numPr>
        <w:spacing w:before="240" w:after="120"/>
        <w:ind w:left="432" w:hanging="432"/>
      </w:pPr>
      <w:bookmarkStart w:id="111" w:name="_Toc18476"/>
      <w:bookmarkStart w:id="112" w:name="_Toc2446"/>
      <w:r>
        <w:rPr>
          <w:rFonts w:hint="eastAsia"/>
        </w:rPr>
        <w:t>附录1：NTC10K温度传感器阻值对应表</w:t>
      </w:r>
      <w:bookmarkEnd w:id="111"/>
      <w:bookmarkEnd w:id="112"/>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10</w:t>
      </w:r>
      <w:r>
        <w:fldChar w:fldCharType="end"/>
      </w:r>
      <w:r>
        <w:rPr>
          <w:rFonts w:hint="eastAsia"/>
        </w:rPr>
        <w:t xml:space="preserve"> 温度传感器阻值对应表</w:t>
      </w:r>
    </w:p>
    <w:tbl>
      <w:tblPr>
        <w:tblStyle w:val="60"/>
        <w:tblW w:w="9287" w:type="dxa"/>
        <w:tblInd w:w="0" w:type="dxa"/>
        <w:tblLayout w:type="fixed"/>
        <w:tblCellMar>
          <w:top w:w="0" w:type="dxa"/>
          <w:left w:w="108" w:type="dxa"/>
          <w:bottom w:w="0" w:type="dxa"/>
          <w:right w:w="108" w:type="dxa"/>
        </w:tblCellMar>
      </w:tblPr>
      <w:tblGrid>
        <w:gridCol w:w="1242"/>
        <w:gridCol w:w="1276"/>
        <w:gridCol w:w="1120"/>
        <w:gridCol w:w="1270"/>
        <w:gridCol w:w="1154"/>
        <w:gridCol w:w="1249"/>
        <w:gridCol w:w="707"/>
        <w:gridCol w:w="1269"/>
      </w:tblGrid>
      <w:tr>
        <w:tblPrEx>
          <w:tblLayout w:type="fixed"/>
          <w:tblCellMar>
            <w:top w:w="0" w:type="dxa"/>
            <w:left w:w="108" w:type="dxa"/>
            <w:bottom w:w="0" w:type="dxa"/>
            <w:right w:w="108" w:type="dxa"/>
          </w:tblCellMar>
        </w:tblPrEx>
        <w:trPr>
          <w:trHeight w:val="405" w:hRule="atLeast"/>
        </w:trPr>
        <w:tc>
          <w:tcPr>
            <w:tcW w:w="928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640" w:firstLineChars="0"/>
              <w:jc w:val="center"/>
              <w:rPr>
                <w:rFonts w:hint="default"/>
                <w:kern w:val="0"/>
                <w:sz w:val="32"/>
                <w:szCs w:val="32"/>
              </w:rPr>
            </w:pPr>
            <w:r>
              <w:rPr>
                <w:rFonts w:hint="default"/>
                <w:kern w:val="0"/>
                <w:sz w:val="32"/>
                <w:szCs w:val="32"/>
              </w:rPr>
              <w:t>NTC</w:t>
            </w:r>
            <w:r>
              <w:rPr>
                <w:rFonts w:hint="eastAsia" w:ascii="宋体" w:hAnsi="宋体"/>
                <w:kern w:val="0"/>
                <w:sz w:val="32"/>
                <w:szCs w:val="32"/>
              </w:rPr>
              <w:t>热敏电阻-分度表</w:t>
            </w:r>
          </w:p>
        </w:tc>
      </w:tr>
      <w:tr>
        <w:tblPrEx>
          <w:tblLayout w:type="fixed"/>
          <w:tblCellMar>
            <w:top w:w="0" w:type="dxa"/>
            <w:left w:w="108" w:type="dxa"/>
            <w:bottom w:w="0" w:type="dxa"/>
            <w:right w:w="108" w:type="dxa"/>
          </w:tblCellMar>
        </w:tblPrEx>
        <w:trPr>
          <w:trHeight w:val="405" w:hRule="atLeast"/>
        </w:trPr>
        <w:tc>
          <w:tcPr>
            <w:tcW w:w="3638" w:type="dxa"/>
            <w:gridSpan w:val="3"/>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标称电阻值：R（25℃）=10KΩ　</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　</w:t>
            </w:r>
          </w:p>
        </w:tc>
        <w:tc>
          <w:tcPr>
            <w:tcW w:w="3110"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温度系数（B25/50）=3950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　</w:t>
            </w:r>
          </w:p>
        </w:tc>
      </w:tr>
      <w:tr>
        <w:tblPrEx>
          <w:tblLayout w:type="fixed"/>
          <w:tblCellMar>
            <w:top w:w="0" w:type="dxa"/>
            <w:left w:w="108" w:type="dxa"/>
            <w:bottom w:w="0" w:type="dxa"/>
            <w:right w:w="108" w:type="dxa"/>
          </w:tblCellMar>
        </w:tblPrEx>
        <w:trPr>
          <w:trHeight w:val="561"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温度(℃)</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标准阻值(KΩ)</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温度(℃)</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标准阻值(KΩ)</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温度(℃)</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标准阻值(KΩ)</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温度(℃)</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标准阻值(KΩ)</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322.049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39.798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7.407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1.863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301.964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37.789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7.103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1.800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283.239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35.893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6.813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1.739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265.775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34.103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6.535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1.680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249.482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32.412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6.271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1.623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234.274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30.815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6.019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1.569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220.076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29.305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5.777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1.517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206.815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27.878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5.547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1.466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194.425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26.528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5.327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1.418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182.844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25.251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5.117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1.372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172.017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24.043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4.917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1.327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161.889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22.900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4.725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1.284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152.414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21.817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4.541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1.242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143.545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20.792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4.366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1.202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135.241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19.820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4.198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1.164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127.463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18.900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4.037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1.127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120.176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18.027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3.884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1.091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113.346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17.200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49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3.737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1.057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106.941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16.415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3.596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1.024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100.934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15.670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3.462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0.992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95.298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14.963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3.333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0.961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90.008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14.293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3.209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0.931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85.041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13.656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3.091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0.903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80.376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13.051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2.977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0.875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75.993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12.476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2.869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0.848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71.874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11.929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2.764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0.823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68.001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11.410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2.665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0.798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64.358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10.916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2.569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0.774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60.931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10.446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2.477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0.751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57.705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10.000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2.389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0.728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54.669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9.573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2.304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0.707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51.809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9.168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2.223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99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0.686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49.115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8.781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2.145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100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0.666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46.577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29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8.413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2.070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44.183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8.061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1.999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41.927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31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7.727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67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宋体" w:hAnsi="宋体" w:cs="宋体"/>
                <w:kern w:val="0"/>
                <w:szCs w:val="20"/>
              </w:rPr>
            </w:pPr>
            <w:r>
              <w:rPr>
                <w:rFonts w:hint="eastAsia" w:ascii="宋体" w:hAnsi="宋体" w:cs="宋体"/>
                <w:kern w:val="0"/>
                <w:szCs w:val="20"/>
              </w:rPr>
              <w:t xml:space="preserve">1.930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left"/>
              <w:rPr>
                <w:rFonts w:hint="default" w:ascii="宋体" w:hAnsi="宋体" w:cs="宋体"/>
                <w:kern w:val="0"/>
                <w:szCs w:val="20"/>
              </w:rPr>
            </w:pPr>
            <w:r>
              <w:rPr>
                <w:rFonts w:hint="eastAsia" w:ascii="宋体" w:hAnsi="宋体" w:cs="宋体"/>
                <w:kern w:val="0"/>
                <w:szCs w:val="20"/>
              </w:rPr>
              <w:t>　</w:t>
            </w:r>
          </w:p>
        </w:tc>
      </w:tr>
    </w:tbl>
    <w:p>
      <w:pPr>
        <w:widowControl/>
        <w:spacing w:line="240" w:lineRule="auto"/>
        <w:ind w:firstLine="0" w:firstLineChars="0"/>
        <w:jc w:val="left"/>
      </w:pPr>
    </w:p>
    <w:p>
      <w:pPr>
        <w:pStyle w:val="2"/>
        <w:numPr>
          <w:ilvl w:val="0"/>
          <w:numId w:val="0"/>
        </w:numPr>
        <w:spacing w:before="240" w:after="120"/>
        <w:ind w:firstLine="883" w:firstLineChars="200"/>
      </w:pPr>
      <w:bookmarkStart w:id="113" w:name="_Toc29918"/>
      <w:r>
        <w:rPr>
          <w:rFonts w:hint="eastAsia"/>
        </w:rPr>
        <w:t>附录2：技术要求</w:t>
      </w:r>
      <w:bookmarkEnd w:id="113"/>
    </w:p>
    <w:p>
      <w:pPr>
        <w:ind w:firstLine="480"/>
      </w:pPr>
      <w:r>
        <w:rPr>
          <w:rFonts w:hint="eastAsia"/>
        </w:rPr>
        <w:t>外壳安装十字头螺钉（螺纹规格M4），</w:t>
      </w:r>
      <w:r>
        <w:rPr>
          <w:rFonts w:hint="eastAsia"/>
          <w:color w:val="0000FF"/>
        </w:rPr>
        <w:t>涂螺纹紧固剂，画防松线；</w:t>
      </w:r>
    </w:p>
    <w:p>
      <w:pPr>
        <w:ind w:firstLine="480"/>
      </w:pPr>
      <w:r>
        <w:rPr>
          <w:rFonts w:hint="eastAsia"/>
        </w:rPr>
        <w:t>外形尺寸、壳体丝印满足设计要求；</w:t>
      </w:r>
    </w:p>
    <w:p>
      <w:pPr>
        <w:ind w:firstLine="480"/>
      </w:pPr>
      <w:r>
        <w:rPr>
          <w:rFonts w:hint="eastAsia"/>
        </w:rPr>
        <w:t>重量≤2kg；</w:t>
      </w:r>
    </w:p>
    <w:p>
      <w:pPr>
        <w:pStyle w:val="192"/>
        <w:ind w:firstLine="480"/>
      </w:pPr>
      <w:r>
        <w:rPr>
          <w:rFonts w:hint="eastAsia"/>
        </w:rPr>
        <w:t>为实现产品防水效果，对不使用的孔位采用塑料端子塞填充，推荐购买信息如下：</w:t>
      </w:r>
    </w:p>
    <w:p>
      <w:pPr>
        <w:ind w:firstLine="480"/>
      </w:pPr>
      <w:r>
        <w:t>引脚定义如下：</w:t>
      </w:r>
    </w:p>
    <w:p>
      <w:pPr>
        <w:pStyle w:val="192"/>
        <w:ind w:firstLine="0" w:firstLineChars="0"/>
      </w:pPr>
    </w:p>
    <w:p>
      <w:pPr>
        <w:pStyle w:val="192"/>
        <w:ind w:firstLine="0" w:firstLineChars="0"/>
      </w:pPr>
      <w:r>
        <w:rPr>
          <w:rFonts w:hint="eastAsia"/>
        </w:rPr>
        <w:drawing>
          <wp:inline distT="0" distB="0" distL="114300" distR="114300">
            <wp:extent cx="5752465" cy="1708785"/>
            <wp:effectExtent l="0" t="0" r="635" b="5715"/>
            <wp:docPr id="7" name="图片 7" descr="166140507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1405075485"/>
                    <pic:cNvPicPr>
                      <a:picLocks noChangeAspect="1"/>
                    </pic:cNvPicPr>
                  </pic:nvPicPr>
                  <pic:blipFill>
                    <a:blip r:embed="rId38"/>
                    <a:stretch>
                      <a:fillRect/>
                    </a:stretch>
                  </pic:blipFill>
                  <pic:spPr>
                    <a:xfrm>
                      <a:off x="0" y="0"/>
                      <a:ext cx="5752465" cy="1708785"/>
                    </a:xfrm>
                    <a:prstGeom prst="rect">
                      <a:avLst/>
                    </a:prstGeom>
                  </pic:spPr>
                </pic:pic>
              </a:graphicData>
            </a:graphic>
          </wp:inline>
        </w:drawing>
      </w:r>
    </w:p>
    <w:p>
      <w:pPr>
        <w:ind w:firstLine="480"/>
      </w:pPr>
      <w:r>
        <w:br w:type="page"/>
      </w:r>
    </w:p>
    <w:p>
      <w:pPr>
        <w:pStyle w:val="2"/>
        <w:numPr>
          <w:ilvl w:val="0"/>
          <w:numId w:val="0"/>
        </w:numPr>
        <w:spacing w:before="240" w:after="120"/>
        <w:ind w:firstLine="883" w:firstLineChars="200"/>
      </w:pPr>
      <w:bookmarkStart w:id="114" w:name="_Toc30518"/>
      <w:r>
        <w:rPr>
          <w:rFonts w:hint="eastAsia"/>
        </w:rPr>
        <w:t>附录3：外形尺寸图</w:t>
      </w:r>
      <w:bookmarkEnd w:id="114"/>
    </w:p>
    <w:p>
      <w:pPr>
        <w:ind w:firstLine="480"/>
      </w:pPr>
      <w:r>
        <w:rPr>
          <w:rFonts w:hint="eastAsia"/>
        </w:rPr>
        <w:drawing>
          <wp:anchor distT="0" distB="0" distL="114300" distR="114300" simplePos="0" relativeHeight="251668480" behindDoc="0" locked="0" layoutInCell="1" allowOverlap="1">
            <wp:simplePos x="0" y="0"/>
            <wp:positionH relativeFrom="column">
              <wp:posOffset>-143510</wp:posOffset>
            </wp:positionH>
            <wp:positionV relativeFrom="paragraph">
              <wp:posOffset>171450</wp:posOffset>
            </wp:positionV>
            <wp:extent cx="6080125" cy="3550285"/>
            <wp:effectExtent l="0" t="0" r="15875" b="12065"/>
            <wp:wrapNone/>
            <wp:docPr id="3" name="图片 3" descr="166140476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1404769175"/>
                    <pic:cNvPicPr>
                      <a:picLocks noChangeAspect="1"/>
                    </pic:cNvPicPr>
                  </pic:nvPicPr>
                  <pic:blipFill>
                    <a:blip r:embed="rId39"/>
                    <a:stretch>
                      <a:fillRect/>
                    </a:stretch>
                  </pic:blipFill>
                  <pic:spPr>
                    <a:xfrm>
                      <a:off x="0" y="0"/>
                      <a:ext cx="6080125" cy="3550285"/>
                    </a:xfrm>
                    <a:prstGeom prst="rect">
                      <a:avLst/>
                    </a:prstGeom>
                  </pic:spPr>
                </pic:pic>
              </a:graphicData>
            </a:graphic>
          </wp:anchor>
        </w:drawing>
      </w:r>
    </w:p>
    <w:p>
      <w:pPr>
        <w:ind w:firstLine="480"/>
      </w:pPr>
      <w:r>
        <w:br w:type="page"/>
      </w:r>
    </w:p>
    <w:p>
      <w:pPr>
        <w:pStyle w:val="2"/>
        <w:numPr>
          <w:ilvl w:val="0"/>
          <w:numId w:val="0"/>
        </w:numPr>
        <w:spacing w:before="240" w:after="120"/>
        <w:ind w:firstLine="442" w:firstLineChars="100"/>
      </w:pPr>
      <w:bookmarkStart w:id="115" w:name="_Toc24583"/>
      <w:r>
        <w:rPr>
          <w:rFonts w:hint="eastAsia"/>
        </w:rPr>
        <w:t>附录4：端子定义</w:t>
      </w:r>
      <w:bookmarkEnd w:id="115"/>
    </w:p>
    <w:tbl>
      <w:tblPr>
        <w:tblStyle w:val="60"/>
        <w:tblW w:w="9064" w:type="dxa"/>
        <w:tblInd w:w="0" w:type="dxa"/>
        <w:tblLayout w:type="fixed"/>
        <w:tblCellMar>
          <w:top w:w="15" w:type="dxa"/>
          <w:left w:w="15" w:type="dxa"/>
          <w:bottom w:w="15" w:type="dxa"/>
          <w:right w:w="15" w:type="dxa"/>
        </w:tblCellMar>
      </w:tblPr>
      <w:tblGrid>
        <w:gridCol w:w="452"/>
        <w:gridCol w:w="887"/>
        <w:gridCol w:w="581"/>
        <w:gridCol w:w="650"/>
        <w:gridCol w:w="762"/>
        <w:gridCol w:w="1301"/>
        <w:gridCol w:w="1969"/>
        <w:gridCol w:w="1050"/>
        <w:gridCol w:w="1412"/>
      </w:tblGrid>
      <w:tr>
        <w:tblPrEx>
          <w:tblLayout w:type="fixed"/>
          <w:tblCellMar>
            <w:top w:w="15" w:type="dxa"/>
            <w:left w:w="15" w:type="dxa"/>
            <w:bottom w:w="15" w:type="dxa"/>
            <w:right w:w="15" w:type="dxa"/>
          </w:tblCellMar>
        </w:tblPrEx>
        <w:trPr>
          <w:trHeight w:val="90" w:hRule="atLeast"/>
          <w:tblHeader/>
        </w:trPr>
        <w:tc>
          <w:tcPr>
            <w:tcW w:w="452" w:type="dxa"/>
            <w:tcBorders>
              <w:top w:val="single" w:color="000000" w:sz="4" w:space="0"/>
              <w:left w:val="single" w:color="000000" w:sz="4" w:space="0"/>
              <w:righ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序号</w:t>
            </w:r>
          </w:p>
        </w:tc>
        <w:tc>
          <w:tcPr>
            <w:tcW w:w="887" w:type="dxa"/>
            <w:tcBorders>
              <w:top w:val="single" w:color="000000" w:sz="4" w:space="0"/>
              <w:left w:val="single" w:color="000000" w:sz="4" w:space="0"/>
              <w:righ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连接器功能描述</w:t>
            </w:r>
          </w:p>
        </w:tc>
        <w:tc>
          <w:tcPr>
            <w:tcW w:w="581" w:type="dxa"/>
            <w:tcBorders>
              <w:top w:val="single" w:color="000000" w:sz="4" w:space="0"/>
              <w:left w:val="single" w:color="000000" w:sz="4" w:space="0"/>
              <w:righ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位号</w:t>
            </w:r>
          </w:p>
        </w:tc>
        <w:tc>
          <w:tcPr>
            <w:tcW w:w="650" w:type="dxa"/>
            <w:tcBorders>
              <w:top w:val="single" w:color="000000" w:sz="4" w:space="0"/>
              <w:left w:val="single" w:color="000000" w:sz="4" w:space="0"/>
              <w:righ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插头引脚</w:t>
            </w:r>
          </w:p>
        </w:tc>
        <w:tc>
          <w:tcPr>
            <w:tcW w:w="762" w:type="dxa"/>
            <w:tcBorders>
              <w:top w:val="single" w:color="000000" w:sz="4" w:space="0"/>
              <w:left w:val="single" w:color="000000" w:sz="4" w:space="0"/>
              <w:righ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PCBA引脚</w:t>
            </w:r>
          </w:p>
        </w:tc>
        <w:tc>
          <w:tcPr>
            <w:tcW w:w="1301" w:type="dxa"/>
            <w:tcBorders>
              <w:top w:val="single" w:color="000000" w:sz="4" w:space="0"/>
              <w:lef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信号名称</w:t>
            </w:r>
          </w:p>
        </w:tc>
        <w:tc>
          <w:tcPr>
            <w:tcW w:w="1969" w:type="dxa"/>
            <w:tcBorders>
              <w:top w:val="single" w:color="000000" w:sz="4" w:space="0"/>
              <w:left w:val="single" w:color="000000" w:sz="4" w:space="0"/>
              <w:righ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信号说明</w:t>
            </w:r>
          </w:p>
        </w:tc>
        <w:tc>
          <w:tcPr>
            <w:tcW w:w="1050" w:type="dxa"/>
            <w:tcBorders>
              <w:top w:val="single" w:color="000000" w:sz="4" w:space="0"/>
              <w:left w:val="single" w:color="000000" w:sz="4" w:space="0"/>
              <w:righ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kern w:val="0"/>
                <w:sz w:val="21"/>
                <w:szCs w:val="21"/>
                <w:lang w:bidi="ar"/>
              </w:rPr>
            </w:pPr>
            <w:r>
              <w:rPr>
                <w:rFonts w:hint="eastAsia" w:asciiTheme="minorEastAsia" w:hAnsiTheme="minorEastAsia" w:eastAsiaTheme="minorEastAsia" w:cstheme="minorEastAsia"/>
                <w:b/>
                <w:kern w:val="0"/>
                <w:sz w:val="21"/>
                <w:szCs w:val="21"/>
                <w:lang w:bidi="ar"/>
              </w:rPr>
              <w:t>使用说明</w:t>
            </w:r>
          </w:p>
        </w:tc>
        <w:tc>
          <w:tcPr>
            <w:tcW w:w="1412" w:type="dxa"/>
            <w:tcBorders>
              <w:top w:val="single" w:color="000000" w:sz="4" w:space="0"/>
              <w:left w:val="single" w:color="000000" w:sz="4" w:space="0"/>
              <w:right w:val="single" w:color="000000" w:sz="4" w:space="0"/>
            </w:tcBorders>
            <w:shd w:val="clear" w:color="auto" w:fill="DDEBF7"/>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备注</w:t>
            </w:r>
          </w:p>
        </w:tc>
      </w:tr>
      <w:tr>
        <w:tblPrEx>
          <w:tblLayout w:type="fixed"/>
          <w:tblCellMar>
            <w:top w:w="15" w:type="dxa"/>
            <w:left w:w="15" w:type="dxa"/>
            <w:bottom w:w="15" w:type="dxa"/>
            <w:right w:w="15" w:type="dxa"/>
          </w:tblCellMar>
        </w:tblPrEx>
        <w:trPr>
          <w:trHeight w:val="315" w:hRule="atLeast"/>
        </w:trPr>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模拟输入</w:t>
            </w:r>
            <w:r>
              <w:rPr>
                <w:rFonts w:hint="eastAsia" w:asciiTheme="minorEastAsia" w:hAnsiTheme="minorEastAsia" w:eastAsiaTheme="minorEastAsia" w:cstheme="minorEastAsia"/>
                <w:b/>
                <w:kern w:val="0"/>
                <w:sz w:val="21"/>
                <w:szCs w:val="21"/>
                <w:lang w:bidi="ar"/>
              </w:rPr>
              <w:br w:type="textWrapping"/>
            </w:r>
            <w:r>
              <w:rPr>
                <w:rFonts w:hint="eastAsia" w:asciiTheme="minorEastAsia" w:hAnsiTheme="minorEastAsia" w:eastAsiaTheme="minorEastAsia" w:cstheme="minorEastAsia"/>
                <w:b/>
                <w:kern w:val="0"/>
                <w:sz w:val="21"/>
                <w:szCs w:val="21"/>
                <w:lang w:bidi="ar"/>
              </w:rPr>
              <w:t>NTC</w:t>
            </w:r>
            <w:r>
              <w:rPr>
                <w:rFonts w:hint="eastAsia" w:asciiTheme="minorEastAsia" w:hAnsiTheme="minorEastAsia" w:eastAsiaTheme="minorEastAsia" w:cstheme="minorEastAsia"/>
                <w:b/>
                <w:kern w:val="0"/>
                <w:sz w:val="21"/>
                <w:szCs w:val="21"/>
                <w:lang w:bidi="ar"/>
              </w:rPr>
              <w:br w:type="textWrapping"/>
            </w:r>
            <w:r>
              <w:rPr>
                <w:rFonts w:hint="eastAsia" w:asciiTheme="minorEastAsia" w:hAnsiTheme="minorEastAsia" w:eastAsiaTheme="minorEastAsia" w:cstheme="minorEastAsia"/>
                <w:b/>
                <w:kern w:val="0"/>
                <w:sz w:val="21"/>
                <w:szCs w:val="21"/>
                <w:lang w:bidi="ar"/>
              </w:rPr>
              <w:t>4-20mA</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XS1</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第1路NTC</w:t>
            </w:r>
          </w:p>
        </w:tc>
        <w:tc>
          <w:tcPr>
            <w:tcW w:w="1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NTC1+</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NTC1-</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第2路NTC</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NTC2+</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NTC2-</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第3路NTC</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NTC3+</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NTC3-</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第4路NTC</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NTC4+</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NTC4-</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第5路NTC</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NTC5+</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NTC5-</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第6路NTC</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NTC6+</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NTC输入+,通道6</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NTC6-</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NTC输入-,通道6</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第1路4~20mA</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AI1+</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AI1-</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第2路4~20mA</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AI2+</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AI2-</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第3路4~20mA</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AI3+</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AI3-</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第4路4~20mA</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AI4+</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AI4-</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第5路4~20mA</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AI5+</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AI5-</w:t>
            </w: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4-20mA输入-,通道5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rPr>
                <w:rFonts w:hint="default" w:asciiTheme="minorEastAsia" w:hAnsiTheme="minorEastAsia" w:eastAsiaTheme="minorEastAsia" w:cstheme="minorEastAsia"/>
                <w:b/>
                <w:sz w:val="21"/>
                <w:szCs w:val="21"/>
              </w:rPr>
            </w:pPr>
          </w:p>
        </w:tc>
        <w:tc>
          <w:tcPr>
            <w:tcW w:w="1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rPr>
                <w:rFonts w:hint="default" w:asciiTheme="minorEastAsia" w:hAnsiTheme="minorEastAsia" w:eastAsiaTheme="minorEastAsia" w:cstheme="minorEastAsia"/>
                <w:b/>
                <w:sz w:val="21"/>
                <w:szCs w:val="21"/>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预留</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285" w:hRule="atLeast"/>
        </w:trPr>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w:t>
            </w:r>
            <w:r>
              <w:rPr>
                <w:rFonts w:hint="eastAsia" w:asciiTheme="minorEastAsia" w:hAnsiTheme="minorEastAsia" w:eastAsiaTheme="minorEastAsia" w:cstheme="minorEastAsia"/>
                <w:b/>
                <w:kern w:val="0"/>
                <w:sz w:val="21"/>
                <w:szCs w:val="21"/>
                <w:lang w:bidi="ar"/>
              </w:rPr>
              <w:br w:type="textWrapping"/>
            </w:r>
            <w:r>
              <w:rPr>
                <w:rFonts w:hint="eastAsia" w:asciiTheme="minorEastAsia" w:hAnsiTheme="minorEastAsia" w:eastAsiaTheme="minorEastAsia" w:cstheme="minorEastAsia"/>
                <w:b/>
                <w:kern w:val="0"/>
                <w:sz w:val="21"/>
                <w:szCs w:val="21"/>
                <w:lang w:bidi="ar"/>
              </w:rPr>
              <w:t>SWD</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XS2</w:t>
            </w:r>
          </w:p>
        </w:tc>
        <w:tc>
          <w:tcPr>
            <w:tcW w:w="65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AV1+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0-10V输入+,通道1</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第1路0~10V输入</w:t>
            </w:r>
          </w:p>
        </w:tc>
        <w:tc>
          <w:tcPr>
            <w:tcW w:w="1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AV1-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0-10V输入-,通道1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3(37)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4(38)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AV2+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0-10V输入+,通道2</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第2路0~10V输入</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5(39)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AV2-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0-10V输入-,通道2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6(40)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7(41)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AV3+</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0-10V输入+,通道3</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第3路0~10V输入</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8(42)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AV3-</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0-10V输入-,通道3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9(43)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10(44)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AV4+</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0-10V输入+,通道4</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第4路0~10V输入</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28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11(45)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AV4-</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0-10V输入-,通道4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12(46)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13(47)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SWDGND</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SWD接口GND</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SWD调试下载口</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14(48)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SWDCLK</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SWD接口时钟</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15(49)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SWDIO</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SWD接口数据</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16(50)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SWD-3.3V</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SWD接口3.3v输入</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17(51)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CAN_120_1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 120电阻</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CAN终端电阻跳线：1、短接时接入R120电阻；2、不短接时不接入电阻；</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18(52)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CAN_120_2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 120电阻</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19(53)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CAN_H</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CAN信号正</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CAN通讯接口1，两路对外CAN接线端子内部是短接</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20(54)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CAN_L</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CAN信号负</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21(55)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GND_CAN</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CAN信号地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22(56)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23(57)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CAN_H</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CAN信号正</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CAN通讯接口2，两路对外CAN接线端子内部是短接</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24(58)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CAN_L</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CAN信号负</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25(59)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GND_CAN</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CAN信号地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26(60)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w:t>
            </w:r>
            <w:r>
              <w:rPr>
                <w:rFonts w:hint="eastAsia" w:asciiTheme="minorEastAsia" w:hAnsiTheme="minorEastAsia" w:eastAsiaTheme="minorEastAsia" w:cstheme="minorEastAsia"/>
                <w:b/>
                <w:kern w:val="0"/>
                <w:sz w:val="21"/>
                <w:szCs w:val="21"/>
                <w:lang w:bidi="ar"/>
              </w:rPr>
              <w:br w:type="textWrapping"/>
            </w:r>
            <w:r>
              <w:rPr>
                <w:rFonts w:hint="eastAsia" w:asciiTheme="minorEastAsia" w:hAnsiTheme="minorEastAsia" w:eastAsiaTheme="minorEastAsia" w:cstheme="minorEastAsia"/>
                <w:b/>
                <w:kern w:val="0"/>
                <w:sz w:val="21"/>
                <w:szCs w:val="21"/>
                <w:lang w:bidi="ar"/>
              </w:rPr>
              <w:t>RS485输出</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XS3</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EEV1-12V</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电子膨胀阀线圈公共端电源12V+</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第一路电子膨胀阀输出</w:t>
            </w:r>
          </w:p>
        </w:tc>
        <w:tc>
          <w:tcPr>
            <w:tcW w:w="1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电子膨胀阀线圈A+相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电子膨胀阀线圈A-相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电子膨胀阀线圈B+相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电子膨胀阀线圈B-相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EEV1-12V</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电子膨胀阀线圈公共端电源12V+</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第一路电子膨胀阀输出扩展</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电子膨胀阀线圈A+相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电子膨胀阀线圈A-相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电子膨胀阀线圈B+相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EEV1-B-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电子膨胀阀线圈B-相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EEV2-12V</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电子膨胀阀线圈公共端电源12V+</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第二路电子膨胀阀输出</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电子膨胀阀线圈A+相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电子膨胀阀线圈A-相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电子膨胀阀线圈B+相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电子膨胀阀线圈B-相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EEV2-12V</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电子膨胀阀线圈公共端电源12V+</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第二路电子膨胀阀输出扩展</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电子膨胀阀线圈A+相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电子膨胀阀线圈A-相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电子膨胀阀线圈B+相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EEV2-B-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电子膨胀阀线圈B-相</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RS485_120_1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120电阻</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RS485终端电阻跳线：1、短接时接入R120电阻；2、不短接时不接入电阻；</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RS485_120_2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120电阻</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RS485_1_A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RS485通讯线A,通道1</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RS485通讯接口1，两路对外RS485接线端子内部是短接</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RS485_1_B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RS485通讯线B,通道1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GND_485_1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RS485地,通道1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34</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33</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RS485_1_A</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RS485通讯线A,通道1</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RS485通讯接口2，两路对外RS485接线端子内部是短接</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32</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RS485_1_B</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RS485通讯线B,通道1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31</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GND_485_1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RS485地,通道1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30</w:t>
            </w:r>
          </w:p>
        </w:tc>
        <w:tc>
          <w:tcPr>
            <w:tcW w:w="7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VSS_PE</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保护地</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5VOUT</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5V输出正</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DC5V输出</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5VOUT_GND</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5V输出负</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ADD-SS</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RS485编制输入负</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地址线识别，1、短接后内部识别高；2、不短接内部识别低；</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ADD-IN</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RS485编制输入正</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285" w:hRule="atLeast"/>
        </w:trPr>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数字量输出</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XS4</w:t>
            </w:r>
          </w:p>
        </w:tc>
        <w:tc>
          <w:tcPr>
            <w:tcW w:w="65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DC24V+</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24V电源正</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DC24V电源输入</w:t>
            </w:r>
          </w:p>
        </w:tc>
        <w:tc>
          <w:tcPr>
            <w:tcW w:w="1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DC24V-</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24V电源负</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3(37)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DO_COM1-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DO公共端-</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第一组数字量输出</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4(38)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DO_COM1+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DO公共端(DO1-DO7)DC110V(P110)</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5(39)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6(40)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7(41)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DO3</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8(42)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DO4</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9(43)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DO5</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10(44)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DO6</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DO通道6</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11(45)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DO7</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DO通道7</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12(46)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DO_COM2-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DO公共端-</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第二组数字量输出</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13(47)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DO_COM2+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DO公共端(DO8-DO12)DC110V(P24)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14(48)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DO8</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DO通道8</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15(49)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DO9</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DO通道9</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16(50)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DO10</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DO通道10</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17(51)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DO11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DO通道11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18(52)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DO12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DO通道12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19(53)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COM3+(DO13)</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SDO1A, DO通道13</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双路数字量输出</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20(54)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(110)(DO13)</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SDO1B, DO通道13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21(55)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COM4+(DO14)</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SDO2A, DO通道14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22(56)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(110)(DO14)</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SDO2B, DO通道14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23(57)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COM5+(DO15)</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SDO3A, DO通道15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24(58)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(110)(DO15)</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SDO3B, DO通道15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25(59)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COM6+(DO16)</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SDO4A, DO通道16</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26(60)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(110)(DO16)</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SDO4B, DO通道16</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285" w:hRule="atLeast"/>
        </w:trPr>
        <w:tc>
          <w:tcPr>
            <w:tcW w:w="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数字量输入</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XS5</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COM1-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DI公共端GND,N24(IN1-IN12)</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第一组数字量输入</w:t>
            </w:r>
          </w:p>
        </w:tc>
        <w:tc>
          <w:tcPr>
            <w:tcW w:w="14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IN3</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IN4</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IN5</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IN6</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DI通道6</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IN7</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DI通道7</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IN8</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DI通道8</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IN9</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DI通道9</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IN10</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DI通道10</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COM2-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DI公共端GND,N24(IN13-IN24)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第二组数字量输入</w:t>
            </w: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IN13</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DI通道13</w:t>
            </w:r>
          </w:p>
        </w:tc>
        <w:tc>
          <w:tcPr>
            <w:tcW w:w="105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IN14</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IN15</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DI通道15</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18</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IN16</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DI通道16</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19</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IN17</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DI通道17</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IN18</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DI通道18</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IN19</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DI通道19</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IN20</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DI通道20</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23</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IN21</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DI通道21</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22</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24</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IN22</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DI通道22</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15"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21</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IN23</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DI通道23</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280" w:hRule="atLeast"/>
        </w:trPr>
        <w:tc>
          <w:tcPr>
            <w:tcW w:w="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20</w:t>
            </w:r>
          </w:p>
        </w:tc>
        <w:tc>
          <w:tcPr>
            <w:tcW w:w="7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26</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IN24</w:t>
            </w:r>
          </w:p>
        </w:tc>
        <w:tc>
          <w:tcPr>
            <w:tcW w:w="1969"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left"/>
              <w:textAlignment w:val="bottom"/>
              <w:rPr>
                <w:rFonts w:hint="default" w:asciiTheme="minorEastAsia" w:hAnsiTheme="minorEastAsia" w:eastAsiaTheme="minorEastAsia" w:cstheme="minorEastAsia"/>
                <w:b/>
                <w:sz w:val="21"/>
                <w:szCs w:val="21"/>
              </w:rPr>
            </w:pPr>
            <w:r>
              <w:rPr>
                <w:rFonts w:hint="eastAsia" w:asciiTheme="minorEastAsia" w:hAnsiTheme="minorEastAsia" w:eastAsiaTheme="minorEastAsia" w:cstheme="minorEastAsia"/>
                <w:b/>
                <w:kern w:val="0"/>
                <w:sz w:val="21"/>
                <w:szCs w:val="21"/>
                <w:lang w:bidi="ar"/>
              </w:rPr>
              <w:t>DI通道24</w:t>
            </w: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b/>
                <w:sz w:val="21"/>
                <w:szCs w:val="21"/>
              </w:rPr>
            </w:pPr>
          </w:p>
        </w:tc>
        <w:tc>
          <w:tcPr>
            <w:tcW w:w="14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rPr>
                <w:rFonts w:hint="default" w:asciiTheme="minorEastAsia" w:hAnsiTheme="minorEastAsia" w:eastAsiaTheme="minorEastAsia" w:cstheme="minorEastAsia"/>
                <w:sz w:val="21"/>
                <w:szCs w:val="21"/>
              </w:rPr>
            </w:pPr>
          </w:p>
        </w:tc>
      </w:tr>
    </w:tbl>
    <w:p>
      <w:pPr>
        <w:ind w:firstLine="0" w:firstLineChars="0"/>
      </w:pPr>
    </w:p>
    <w:tbl>
      <w:tblPr>
        <w:tblStyle w:val="60"/>
        <w:tblpPr w:leftFromText="180" w:rightFromText="180" w:vertAnchor="text" w:horzAnchor="margin" w:tblpY="760"/>
        <w:tblW w:w="9039" w:type="dxa"/>
        <w:tblInd w:w="0" w:type="dxa"/>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
      <w:tblGrid>
        <w:gridCol w:w="2235"/>
        <w:gridCol w:w="2126"/>
        <w:gridCol w:w="283"/>
        <w:gridCol w:w="2127"/>
        <w:gridCol w:w="29"/>
        <w:gridCol w:w="679"/>
        <w:gridCol w:w="1560"/>
      </w:tblGrid>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4820" w:hRule="exact"/>
        </w:trPr>
        <w:tc>
          <w:tcPr>
            <w:tcW w:w="9039" w:type="dxa"/>
            <w:gridSpan w:val="7"/>
            <w:tcBorders>
              <w:bottom w:val="single" w:color="auto" w:sz="12" w:space="0"/>
            </w:tcBorders>
            <w:shd w:val="clear" w:color="auto" w:fill="auto"/>
            <w:vAlign w:val="center"/>
          </w:tcPr>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default" w:ascii="黑体" w:hAnsi="黑体" w:eastAsia="黑体"/>
                <w:sz w:val="36"/>
                <w:szCs w:val="36"/>
              </w:rPr>
              <w:t>KIO02-01</w:t>
            </w:r>
            <w:r>
              <w:rPr>
                <w:rFonts w:hint="eastAsia" w:ascii="黑体" w:hAnsi="黑体" w:eastAsia="黑体"/>
                <w:sz w:val="36"/>
                <w:szCs w:val="36"/>
              </w:rPr>
              <w:t>C型</w:t>
            </w:r>
            <w:r>
              <w:rPr>
                <w:rFonts w:hint="default" w:ascii="黑体" w:hAnsi="黑体" w:eastAsia="黑体"/>
                <w:sz w:val="36"/>
                <w:szCs w:val="36"/>
              </w:rPr>
              <w:t>控制器</w:t>
            </w:r>
          </w:p>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default" w:ascii="黑体" w:hAnsi="黑体" w:eastAsia="黑体"/>
                <w:sz w:val="36"/>
                <w:szCs w:val="36"/>
              </w:rPr>
              <w:t>技术条件</w:t>
            </w:r>
          </w:p>
          <w:p>
            <w:pPr>
              <w:keepNext w:val="0"/>
              <w:keepLines w:val="0"/>
              <w:suppressLineNumbers w:val="0"/>
              <w:spacing w:before="240" w:beforeLines="100" w:beforeAutospacing="0" w:after="0" w:afterAutospacing="0" w:line="360" w:lineRule="auto"/>
              <w:ind w:left="0" w:right="0" w:firstLine="720"/>
              <w:jc w:val="center"/>
              <w:rPr>
                <w:rFonts w:hint="default" w:ascii="黑体" w:hAnsi="黑体" w:eastAsia="黑体"/>
                <w:sz w:val="36"/>
                <w:szCs w:val="36"/>
              </w:rPr>
            </w:pPr>
            <w:r>
              <w:rPr>
                <w:rFonts w:hint="eastAsia" w:ascii="黑体" w:hAnsi="黑体" w:eastAsia="黑体"/>
                <w:sz w:val="36"/>
                <w:szCs w:val="36"/>
              </w:rPr>
              <w:t>TR000802</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2235" w:type="dxa"/>
            <w:tcBorders>
              <w:top w:val="single" w:color="auto" w:sz="12"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所属部门</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default"/>
              </w:rPr>
              <w:t>Responsible</w:t>
            </w:r>
            <w:r>
              <w:rPr>
                <w:rFonts w:hint="eastAsia"/>
              </w:rPr>
              <w:t xml:space="preserve"> Division</w:t>
            </w:r>
          </w:p>
        </w:tc>
        <w:tc>
          <w:tcPr>
            <w:tcW w:w="2409"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文件类型</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Document Type</w:t>
            </w:r>
          </w:p>
        </w:tc>
        <w:tc>
          <w:tcPr>
            <w:tcW w:w="2156"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CP编号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CP Number</w:t>
            </w:r>
          </w:p>
        </w:tc>
        <w:tc>
          <w:tcPr>
            <w:tcW w:w="2239" w:type="dxa"/>
            <w:gridSpan w:val="2"/>
            <w:tcBorders>
              <w:top w:val="single" w:color="auto" w:sz="12" w:space="0"/>
              <w:left w:val="single" w:color="auto" w:sz="4" w:space="0"/>
              <w:bottom w:val="single" w:color="auto" w:sz="8"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项目代号</w:t>
            </w:r>
          </w:p>
          <w:p>
            <w:pPr>
              <w:pStyle w:val="189"/>
              <w:keepNext w:val="0"/>
              <w:keepLines w:val="0"/>
              <w:framePr w:hSpace="0" w:wrap="auto" w:vAnchor="margin" w:hAnchor="text" w:yAlign="inline"/>
              <w:suppressLineNumbers w:val="0"/>
              <w:spacing w:before="0" w:beforeAutospacing="0" w:after="0" w:afterAutospacing="0"/>
              <w:ind w:left="0" w:right="0"/>
              <w:rPr>
                <w:rFonts w:hint="default" w:ascii="宋体" w:hAnsi="宋体"/>
              </w:rPr>
            </w:pPr>
            <w:r>
              <w:rPr>
                <w:rFonts w:hint="eastAsia"/>
              </w:rPr>
              <w:t>Project Number</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2235" w:type="dxa"/>
            <w:tcBorders>
              <w:top w:val="single" w:color="auto" w:sz="8"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研发中心</w:t>
            </w:r>
          </w:p>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default"/>
              </w:rPr>
              <w:t>R&amp;D</w:t>
            </w:r>
            <w:r>
              <w:rPr>
                <w:rFonts w:hint="eastAsia"/>
              </w:rPr>
              <w:t xml:space="preserve"> Department</w:t>
            </w:r>
          </w:p>
        </w:tc>
        <w:tc>
          <w:tcPr>
            <w:tcW w:w="2409" w:type="dxa"/>
            <w:gridSpan w:val="2"/>
            <w:tcBorders>
              <w:top w:val="single" w:color="auto" w:sz="8" w:space="0"/>
              <w:left w:val="single" w:color="auto" w:sz="4"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技术条件</w:t>
            </w:r>
          </w:p>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Technical Requirement</w:t>
            </w:r>
          </w:p>
        </w:tc>
        <w:tc>
          <w:tcPr>
            <w:tcW w:w="2156" w:type="dxa"/>
            <w:gridSpan w:val="2"/>
            <w:tcBorders>
              <w:top w:val="single" w:color="auto" w:sz="8" w:space="0"/>
              <w:left w:val="single" w:color="auto" w:sz="4" w:space="0"/>
              <w:bottom w:val="single" w:color="auto" w:sz="12" w:space="0"/>
              <w:right w:val="single" w:color="auto" w:sz="4"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default"/>
              </w:rPr>
              <w:t>/</w:t>
            </w:r>
          </w:p>
        </w:tc>
        <w:tc>
          <w:tcPr>
            <w:tcW w:w="2239" w:type="dxa"/>
            <w:gridSpan w:val="2"/>
            <w:tcBorders>
              <w:top w:val="single" w:color="auto" w:sz="8" w:space="0"/>
              <w:left w:val="single" w:color="auto" w:sz="4" w:space="0"/>
              <w:bottom w:val="single" w:color="auto" w:sz="12" w:space="0"/>
            </w:tcBorders>
            <w:shd w:val="clear" w:color="auto" w:fill="auto"/>
            <w:vAlign w:val="center"/>
          </w:tcPr>
          <w:p>
            <w:pPr>
              <w:pStyle w:val="187"/>
              <w:keepNext w:val="0"/>
              <w:keepLines w:val="0"/>
              <w:framePr w:hSpace="0" w:wrap="auto" w:vAnchor="margin" w:hAnchor="text" w:yAlign="inline"/>
              <w:widowControl/>
              <w:suppressLineNumbers w:val="0"/>
              <w:spacing w:before="0" w:beforeAutospacing="0" w:after="0" w:afterAutospacing="0"/>
              <w:ind w:left="0" w:right="0"/>
              <w:rPr>
                <w:rFonts w:hint="default"/>
              </w:rP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4526" w:hRule="atLeast"/>
        </w:trPr>
        <w:tc>
          <w:tcPr>
            <w:tcW w:w="9039" w:type="dxa"/>
            <w:gridSpan w:val="7"/>
            <w:tcBorders>
              <w:top w:val="single" w:color="auto" w:sz="12" w:space="0"/>
              <w:bottom w:val="single" w:color="auto" w:sz="12" w:space="0"/>
            </w:tcBorders>
            <w:shd w:val="clear" w:color="auto" w:fill="auto"/>
          </w:tcPr>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编制</w:t>
            </w:r>
            <w:r>
              <w:rPr>
                <w:rFonts w:hint="eastAsia" w:ascii="Calibri" w:hAnsi="Calibri"/>
                <w:b/>
                <w:sz w:val="21"/>
                <w:szCs w:val="21"/>
              </w:rPr>
              <w:t>Written by：</w:t>
            </w:r>
            <w:r>
              <w:rPr>
                <w:rFonts w:hint="default" w:ascii="Calibri" w:hAnsi="Calibri"/>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r>
              <w:rPr>
                <w:rFonts w:hint="eastAsia"/>
                <w:b/>
                <w:szCs w:val="20"/>
              </w:rPr>
              <w:t xml:space="preserve">                  </w:t>
            </w:r>
            <w:r>
              <w:rPr>
                <w:rFonts w:hint="eastAsia"/>
                <w:szCs w:val="20"/>
                <w:u w:val="single"/>
              </w:rPr>
              <w:t xml:space="preserve">                      </w:t>
            </w:r>
            <w:r>
              <w:rPr>
                <w:rFonts w:hint="eastAsia"/>
                <w:b/>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校对</w:t>
            </w:r>
            <w:r>
              <w:rPr>
                <w:rFonts w:hint="default" w:ascii="Calibri" w:hAnsi="Calibri"/>
                <w:b/>
                <w:sz w:val="21"/>
                <w:szCs w:val="21"/>
              </w:rPr>
              <w:t>C</w:t>
            </w:r>
            <w:r>
              <w:rPr>
                <w:rFonts w:hint="eastAsia" w:ascii="Calibri" w:hAnsi="Calibri"/>
                <w:b/>
                <w:sz w:val="21"/>
                <w:szCs w:val="21"/>
              </w:rPr>
              <w:t>hecked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szCs w:val="20"/>
              </w:rPr>
            </w:pPr>
            <w:r>
              <w:rPr>
                <w:rFonts w:hint="eastAsia"/>
                <w:b/>
                <w:szCs w:val="20"/>
              </w:rPr>
              <w:t xml:space="preserve">                  </w:t>
            </w:r>
            <w:r>
              <w:rPr>
                <w:rFonts w:hint="eastAsia"/>
                <w:szCs w:val="20"/>
                <w:u w:val="single"/>
              </w:rPr>
              <w:t xml:space="preserve">                      </w:t>
            </w:r>
            <w:r>
              <w:rPr>
                <w:rFonts w:hint="eastAsia"/>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审核</w:t>
            </w:r>
            <w:r>
              <w:rPr>
                <w:rFonts w:hint="eastAsia" w:ascii="Calibri" w:hAnsi="Calibri"/>
                <w:b/>
                <w:sz w:val="21"/>
                <w:szCs w:val="21"/>
              </w:rPr>
              <w:t>Reviewed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u w:val="single"/>
              </w:rPr>
            </w:pPr>
            <w:r>
              <w:rPr>
                <w:rFonts w:hint="eastAsia"/>
                <w:b/>
                <w:szCs w:val="20"/>
              </w:rPr>
              <w:t xml:space="preserve">                  </w:t>
            </w:r>
            <w:r>
              <w:rPr>
                <w:rFonts w:hint="eastAsia"/>
                <w:szCs w:val="20"/>
                <w:u w:val="single"/>
              </w:rPr>
              <w:t xml:space="preserve">                      </w:t>
            </w:r>
            <w:r>
              <w:rPr>
                <w:rFonts w:hint="eastAsia"/>
                <w:b/>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82"/>
              <w:jc w:val="left"/>
              <w:rPr>
                <w:rFonts w:hint="default"/>
                <w:b/>
                <w:szCs w:val="20"/>
              </w:rPr>
            </w:pPr>
          </w:p>
          <w:p>
            <w:pPr>
              <w:keepNext w:val="0"/>
              <w:keepLines w:val="0"/>
              <w:suppressLineNumbers w:val="0"/>
              <w:spacing w:before="0" w:beforeAutospacing="0" w:after="0" w:afterAutospacing="0" w:line="320" w:lineRule="exact"/>
              <w:ind w:left="0" w:right="0" w:firstLine="422"/>
              <w:jc w:val="left"/>
              <w:rPr>
                <w:rFonts w:hint="default"/>
                <w:b/>
                <w:szCs w:val="20"/>
              </w:rPr>
            </w:pPr>
            <w:r>
              <w:rPr>
                <w:rFonts w:hint="eastAsia" w:ascii="宋体" w:hAnsi="宋体"/>
                <w:b/>
                <w:sz w:val="21"/>
                <w:szCs w:val="21"/>
              </w:rPr>
              <w:t>批准</w:t>
            </w:r>
            <w:r>
              <w:rPr>
                <w:rFonts w:hint="eastAsia" w:ascii="Calibri" w:hAnsi="Calibri"/>
                <w:b/>
                <w:sz w:val="21"/>
                <w:szCs w:val="21"/>
              </w:rPr>
              <w:t>Approved by:</w:t>
            </w:r>
            <w:r>
              <w:rPr>
                <w:rFonts w:hint="eastAsia"/>
                <w:b/>
                <w:szCs w:val="20"/>
              </w:rPr>
              <w:t xml:space="preserve">                                 </w:t>
            </w:r>
          </w:p>
          <w:p>
            <w:pPr>
              <w:keepNext w:val="0"/>
              <w:keepLines w:val="0"/>
              <w:suppressLineNumbers w:val="0"/>
              <w:spacing w:before="0" w:beforeAutospacing="0" w:after="0" w:afterAutospacing="0" w:line="320" w:lineRule="exact"/>
              <w:ind w:left="0" w:right="0" w:firstLine="480"/>
              <w:jc w:val="left"/>
              <w:rPr>
                <w:rFonts w:hint="default"/>
                <w:szCs w:val="20"/>
                <w:u w:val="single"/>
              </w:rPr>
            </w:pPr>
            <w:r>
              <w:rPr>
                <w:rFonts w:hint="eastAsia"/>
                <w:szCs w:val="20"/>
              </w:rPr>
              <w:t xml:space="preserve">                  </w:t>
            </w:r>
            <w:r>
              <w:rPr>
                <w:rFonts w:hint="eastAsia"/>
                <w:szCs w:val="20"/>
                <w:u w:val="single"/>
              </w:rPr>
              <w:t xml:space="preserve">                      </w:t>
            </w:r>
            <w:r>
              <w:rPr>
                <w:rFonts w:hint="eastAsia"/>
                <w:szCs w:val="20"/>
              </w:rPr>
              <w:t xml:space="preserve">     </w:t>
            </w:r>
            <w:r>
              <w:rPr>
                <w:rFonts w:hint="eastAsia"/>
                <w:szCs w:val="20"/>
                <w:u w:val="single"/>
              </w:rPr>
              <w:t xml:space="preserve">          </w:t>
            </w:r>
          </w:p>
          <w:p>
            <w:pPr>
              <w:keepNext w:val="0"/>
              <w:keepLines w:val="0"/>
              <w:suppressLineNumbers w:val="0"/>
              <w:spacing w:before="0" w:beforeAutospacing="0" w:after="0" w:afterAutospacing="0" w:line="360" w:lineRule="auto"/>
              <w:ind w:left="0" w:right="0" w:firstLine="480"/>
              <w:jc w:val="left"/>
              <w:rPr>
                <w:rFonts w:hint="default"/>
                <w:szCs w:val="20"/>
              </w:rPr>
            </w:pPr>
            <w:r>
              <w:rPr>
                <w:rFonts w:hint="eastAsia"/>
                <w:szCs w:val="20"/>
              </w:rPr>
              <w:t xml:space="preserve">                       </w:t>
            </w:r>
            <w:r>
              <w:rPr>
                <w:rFonts w:hint="eastAsia" w:ascii="宋体" w:hAnsi="宋体"/>
                <w:sz w:val="21"/>
                <w:szCs w:val="21"/>
              </w:rPr>
              <w:t>签字</w:t>
            </w:r>
            <w:r>
              <w:rPr>
                <w:rFonts w:hint="eastAsia" w:ascii="Calibri" w:hAnsi="Calibri"/>
                <w:sz w:val="21"/>
                <w:szCs w:val="21"/>
              </w:rPr>
              <w:t>（Signature）</w:t>
            </w:r>
            <w:r>
              <w:rPr>
                <w:rFonts w:hint="eastAsia"/>
                <w:szCs w:val="20"/>
              </w:rPr>
              <w:t xml:space="preserve">           </w:t>
            </w:r>
            <w:r>
              <w:rPr>
                <w:rFonts w:hint="eastAsia" w:ascii="宋体" w:hAnsi="宋体"/>
                <w:sz w:val="21"/>
                <w:szCs w:val="21"/>
              </w:rPr>
              <w:t>日期</w:t>
            </w:r>
            <w:r>
              <w:rPr>
                <w:rFonts w:hint="eastAsia" w:ascii="Calibri" w:hAnsi="Calibri"/>
                <w:sz w:val="21"/>
                <w:szCs w:val="21"/>
              </w:rPr>
              <w:t>（Date）</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1030" w:hRule="exact"/>
        </w:trPr>
        <w:tc>
          <w:tcPr>
            <w:tcW w:w="4361" w:type="dxa"/>
            <w:gridSpan w:val="2"/>
            <w:vMerge w:val="restart"/>
            <w:tcBorders>
              <w:top w:val="single" w:color="auto" w:sz="12" w:space="0"/>
              <w:right w:val="single" w:color="auto" w:sz="4" w:space="0"/>
            </w:tcBorders>
            <w:shd w:val="clear" w:color="auto" w:fill="auto"/>
          </w:tcPr>
          <w:p>
            <w:pPr>
              <w:pStyle w:val="156"/>
              <w:keepNext w:val="0"/>
              <w:keepLines w:val="0"/>
              <w:widowControl/>
              <w:suppressLineNumbers w:val="0"/>
              <w:spacing w:beforeAutospacing="0" w:after="0" w:afterAutospacing="0"/>
              <w:ind w:left="0" w:right="0"/>
              <w:jc w:val="left"/>
              <w:rPr>
                <w:rFonts w:hint="default"/>
                <w:bCs/>
                <w:sz w:val="18"/>
                <w:szCs w:val="18"/>
              </w:rPr>
            </w:pPr>
            <w:r>
              <w:rPr>
                <w:rFonts w:hint="eastAsia"/>
                <w:sz w:val="18"/>
                <w:szCs w:val="18"/>
              </w:rPr>
              <w:t>本技术资料版权归石家庄国祥运输设备有限公司所有，未经本公司许可，不得向第三方泄漏，不得复制或公开发表。</w:t>
            </w:r>
          </w:p>
          <w:p>
            <w:pPr>
              <w:pStyle w:val="156"/>
              <w:keepNext w:val="0"/>
              <w:keepLines w:val="0"/>
              <w:widowControl/>
              <w:suppressLineNumbers w:val="0"/>
              <w:spacing w:beforeAutospacing="0" w:after="0" w:afterAutospacing="0"/>
              <w:ind w:left="0" w:right="0"/>
              <w:jc w:val="left"/>
              <w:rPr>
                <w:rFonts w:hint="default"/>
              </w:rPr>
            </w:pPr>
            <w:r>
              <w:rPr>
                <w:rFonts w:hint="default"/>
                <w:sz w:val="18"/>
                <w:szCs w:val="18"/>
              </w:rPr>
              <w:t>This document and its contents are the property of Shijiazhuang KING Transportation Equipment CO., LTD., or its subsidiaries. This document contains confidential proprietary information. The reproduction, distribution, utilization or the communication of this document or any part thereof, without express authorization is strictly prohibited.</w:t>
            </w:r>
          </w:p>
        </w:tc>
        <w:tc>
          <w:tcPr>
            <w:tcW w:w="4678" w:type="dxa"/>
            <w:gridSpan w:val="5"/>
            <w:tcBorders>
              <w:top w:val="single" w:color="auto" w:sz="12" w:space="0"/>
              <w:left w:val="single" w:color="auto" w:sz="4" w:space="0"/>
            </w:tcBorders>
            <w:shd w:val="clear" w:color="auto" w:fill="auto"/>
          </w:tcPr>
          <w:p>
            <w:pPr>
              <w:keepNext w:val="0"/>
              <w:keepLines w:val="0"/>
              <w:suppressLineNumbers w:val="0"/>
              <w:spacing w:before="0" w:beforeAutospacing="0" w:after="0" w:afterAutospacing="0"/>
              <w:ind w:left="0" w:right="0" w:firstLine="422"/>
              <w:jc w:val="left"/>
              <w:rPr>
                <w:rFonts w:hint="default" w:ascii="Calibri" w:hAnsi="Calibri"/>
                <w:b/>
                <w:sz w:val="21"/>
                <w:szCs w:val="21"/>
              </w:rPr>
            </w:pPr>
            <w:r>
              <w:rPr>
                <w:rFonts w:hint="eastAsia" w:ascii="宋体" w:hAnsi="宋体"/>
                <w:b/>
                <w:sz w:val="21"/>
                <w:szCs w:val="21"/>
              </w:rPr>
              <w:t>内部</w:t>
            </w:r>
            <w:r>
              <w:rPr>
                <w:rFonts w:hint="default" w:ascii="宋体" w:hAnsi="宋体"/>
                <w:b/>
                <w:sz w:val="21"/>
                <w:szCs w:val="21"/>
              </w:rPr>
              <w:t>文件编号</w:t>
            </w:r>
            <w:r>
              <w:rPr>
                <w:rFonts w:hint="eastAsia" w:ascii="Calibri" w:hAnsi="Calibri"/>
                <w:b/>
                <w:sz w:val="21"/>
                <w:szCs w:val="21"/>
              </w:rPr>
              <w:t>Internal Document No.</w:t>
            </w:r>
          </w:p>
          <w:p>
            <w:pPr>
              <w:keepNext w:val="0"/>
              <w:keepLines w:val="0"/>
              <w:suppressLineNumbers w:val="0"/>
              <w:spacing w:before="120" w:beforeAutospacing="0" w:after="0" w:afterAutospacing="0" w:line="360" w:lineRule="auto"/>
              <w:ind w:left="0" w:right="0" w:firstLine="643"/>
              <w:jc w:val="center"/>
              <w:rPr>
                <w:rFonts w:hint="default" w:ascii="Calibri" w:hAnsi="Calibri"/>
                <w:b/>
                <w:strike/>
                <w:sz w:val="32"/>
                <w:szCs w:val="32"/>
              </w:rPr>
            </w:pP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695" w:hRule="exact"/>
        </w:trPr>
        <w:tc>
          <w:tcPr>
            <w:tcW w:w="4361" w:type="dxa"/>
            <w:gridSpan w:val="2"/>
            <w:vMerge w:val="continue"/>
            <w:tcBorders>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firstLine="480"/>
              <w:jc w:val="center"/>
              <w:rPr>
                <w:rFonts w:hint="default"/>
                <w:szCs w:val="20"/>
              </w:rPr>
            </w:pPr>
          </w:p>
        </w:tc>
        <w:tc>
          <w:tcPr>
            <w:tcW w:w="2410" w:type="dxa"/>
            <w:gridSpan w:val="2"/>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客户文件编号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Customer Document No.</w:t>
            </w:r>
          </w:p>
        </w:tc>
        <w:tc>
          <w:tcPr>
            <w:tcW w:w="708" w:type="dxa"/>
            <w:gridSpan w:val="2"/>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版本</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Rev.</w:t>
            </w:r>
          </w:p>
        </w:tc>
        <w:tc>
          <w:tcPr>
            <w:tcW w:w="1560" w:type="dxa"/>
            <w:tcBorders>
              <w:left w:val="single" w:color="auto" w:sz="4" w:space="0"/>
              <w:bottom w:val="single" w:color="auto" w:sz="4" w:space="0"/>
            </w:tcBorders>
            <w:shd w:val="clear" w:color="auto" w:fill="auto"/>
            <w:vAlign w:val="center"/>
          </w:tcPr>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客户代号</w:t>
            </w:r>
          </w:p>
          <w:p>
            <w:pPr>
              <w:pStyle w:val="189"/>
              <w:keepNext w:val="0"/>
              <w:keepLines w:val="0"/>
              <w:framePr w:hSpace="0" w:wrap="auto" w:vAnchor="margin" w:hAnchor="text" w:yAlign="inline"/>
              <w:suppressLineNumbers w:val="0"/>
              <w:spacing w:before="0" w:beforeAutospacing="0" w:after="0" w:afterAutospacing="0"/>
              <w:ind w:left="0" w:right="0"/>
              <w:rPr>
                <w:rFonts w:hint="default"/>
              </w:rPr>
            </w:pPr>
            <w:r>
              <w:rPr>
                <w:rFonts w:hint="eastAsia"/>
              </w:rPr>
              <w:t>Customer Code</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4361" w:type="dxa"/>
            <w:gridSpan w:val="2"/>
            <w:vMerge w:val="continue"/>
            <w:tcBorders>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firstLine="480"/>
              <w:jc w:val="center"/>
              <w:rPr>
                <w:rFonts w:hint="default"/>
                <w:szCs w:val="20"/>
              </w:rPr>
            </w:pPr>
          </w:p>
        </w:tc>
        <w:tc>
          <w:tcPr>
            <w:tcW w:w="2410" w:type="dxa"/>
            <w:gridSpan w:val="2"/>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r>
              <w:rPr>
                <w:rFonts w:hint="eastAsia"/>
                <w:szCs w:val="20"/>
              </w:rPr>
              <w:t>/</w:t>
            </w:r>
          </w:p>
        </w:tc>
        <w:tc>
          <w:tcPr>
            <w:tcW w:w="708" w:type="dxa"/>
            <w:gridSpan w:val="2"/>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p>
        </w:tc>
        <w:tc>
          <w:tcPr>
            <w:tcW w:w="1560" w:type="dxa"/>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firstLine="480"/>
              <w:jc w:val="center"/>
              <w:rPr>
                <w:rFonts w:hint="default"/>
                <w:szCs w:val="20"/>
              </w:rPr>
            </w:pPr>
            <w:r>
              <w:rPr>
                <w:rFonts w:hint="eastAsia"/>
                <w:szCs w:val="20"/>
              </w:rPr>
              <w:t>/</w:t>
            </w:r>
          </w:p>
        </w:tc>
      </w:tr>
    </w:tbl>
    <w:p>
      <w:pPr>
        <w:adjustRightInd w:val="0"/>
        <w:spacing w:after="312"/>
        <w:ind w:firstLine="643"/>
        <w:jc w:val="center"/>
        <w:outlineLvl w:val="0"/>
        <w:rPr>
          <w:rFonts w:ascii="Arial" w:hAnsi="Arial" w:cs="Arial"/>
          <w:b/>
          <w:bCs/>
          <w:sz w:val="32"/>
        </w:rPr>
      </w:pPr>
    </w:p>
    <w:p>
      <w:pPr>
        <w:pStyle w:val="43"/>
        <w:ind w:firstLine="643"/>
      </w:pPr>
      <w:r>
        <w:rPr>
          <w:rFonts w:hint="eastAsia"/>
        </w:rPr>
        <w:t>历史记录</w:t>
      </w:r>
    </w:p>
    <w:p>
      <w:pPr>
        <w:pStyle w:val="43"/>
        <w:ind w:firstLine="643"/>
        <w:rPr>
          <w:bCs/>
        </w:rPr>
      </w:pPr>
      <w:r>
        <w:t>Revision Log</w:t>
      </w:r>
    </w:p>
    <w:p>
      <w:pPr>
        <w:adjustRightInd w:val="0"/>
        <w:snapToGrid w:val="0"/>
        <w:ind w:firstLine="544"/>
        <w:jc w:val="center"/>
        <w:rPr>
          <w:rFonts w:ascii="Arial" w:hAnsi="Arial" w:cs="Arial"/>
          <w:spacing w:val="16"/>
        </w:rPr>
      </w:pPr>
    </w:p>
    <w:tbl>
      <w:tblPr>
        <w:tblStyle w:val="60"/>
        <w:tblW w:w="88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349"/>
        <w:gridCol w:w="165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版本</w:t>
            </w:r>
          </w:p>
          <w:p>
            <w:pPr>
              <w:pStyle w:val="156"/>
              <w:keepNext w:val="0"/>
              <w:keepLines w:val="0"/>
              <w:widowControl/>
              <w:suppressLineNumbers w:val="0"/>
              <w:spacing w:beforeAutospacing="0" w:after="0" w:afterAutospacing="0"/>
              <w:ind w:left="0" w:right="0"/>
              <w:rPr>
                <w:rFonts w:hint="default"/>
              </w:rPr>
            </w:pPr>
            <w:r>
              <w:rPr>
                <w:rFonts w:hint="default"/>
              </w:rPr>
              <w:t>Revision</w:t>
            </w:r>
          </w:p>
        </w:tc>
        <w:tc>
          <w:tcPr>
            <w:tcW w:w="4349"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更改描述</w:t>
            </w:r>
          </w:p>
          <w:p>
            <w:pPr>
              <w:pStyle w:val="156"/>
              <w:keepNext w:val="0"/>
              <w:keepLines w:val="0"/>
              <w:widowControl/>
              <w:suppressLineNumbers w:val="0"/>
              <w:spacing w:beforeAutospacing="0" w:after="0" w:afterAutospacing="0"/>
              <w:ind w:left="0" w:right="0"/>
              <w:rPr>
                <w:rFonts w:hint="default"/>
              </w:rPr>
            </w:pPr>
            <w:r>
              <w:rPr>
                <w:rFonts w:hint="default"/>
              </w:rPr>
              <w:t>Description</w:t>
            </w:r>
          </w:p>
        </w:tc>
        <w:tc>
          <w:tcPr>
            <w:tcW w:w="1650"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作者</w:t>
            </w:r>
          </w:p>
          <w:p>
            <w:pPr>
              <w:pStyle w:val="156"/>
              <w:keepNext w:val="0"/>
              <w:keepLines w:val="0"/>
              <w:widowControl/>
              <w:suppressLineNumbers w:val="0"/>
              <w:spacing w:beforeAutospacing="0" w:after="0" w:afterAutospacing="0"/>
              <w:ind w:left="0" w:right="0"/>
              <w:rPr>
                <w:rFonts w:hint="default"/>
              </w:rPr>
            </w:pPr>
            <w:r>
              <w:rPr>
                <w:rFonts w:hint="default"/>
              </w:rPr>
              <w:t>Author</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日期</w:t>
            </w:r>
          </w:p>
          <w:p>
            <w:pPr>
              <w:pStyle w:val="156"/>
              <w:keepNext w:val="0"/>
              <w:keepLines w:val="0"/>
              <w:widowControl/>
              <w:suppressLineNumbers w:val="0"/>
              <w:spacing w:beforeAutospacing="0" w:after="0" w:afterAutospacing="0"/>
              <w:ind w:left="0" w:right="0"/>
              <w:rPr>
                <w:rFonts w:hint="default"/>
              </w:rPr>
            </w:pPr>
            <w:r>
              <w:rPr>
                <w:rFonts w:hint="default"/>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A</w:t>
            </w:r>
          </w:p>
        </w:tc>
        <w:tc>
          <w:tcPr>
            <w:tcW w:w="4349"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初版</w:t>
            </w:r>
          </w:p>
        </w:tc>
        <w:tc>
          <w:tcPr>
            <w:tcW w:w="1650"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r>
              <w:rPr>
                <w:rFonts w:hint="default"/>
              </w:rPr>
              <w:t>0</w:t>
            </w:r>
            <w:r>
              <w:rPr>
                <w:rFonts w:hint="eastAsia"/>
              </w:rPr>
              <w:t>20</w:t>
            </w:r>
            <w:r>
              <w:rPr>
                <w:rFonts w:hint="default"/>
              </w:rPr>
              <w:t>.1</w:t>
            </w:r>
            <w:r>
              <w:rPr>
                <w:rFonts w:hint="eastAsia"/>
              </w:rPr>
              <w:t>0</w:t>
            </w:r>
            <w:r>
              <w:rPr>
                <w:rFonts w:hint="default"/>
              </w:rPr>
              <w:t>.2</w:t>
            </w: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B</w:t>
            </w:r>
          </w:p>
        </w:tc>
        <w:tc>
          <w:tcPr>
            <w:tcW w:w="4349"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附录增加防水要求</w:t>
            </w:r>
          </w:p>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优化附件清单列表</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r>
              <w:rPr>
                <w:rFonts w:hint="default"/>
              </w:rPr>
              <w:t>020.11.29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C</w:t>
            </w:r>
          </w:p>
        </w:tc>
        <w:tc>
          <w:tcPr>
            <w:tcW w:w="4349"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更改附录2图纸</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r>
              <w:rPr>
                <w:rFonts w:hint="default"/>
              </w:rPr>
              <w:t>020.12.5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D</w:t>
            </w:r>
          </w:p>
        </w:tc>
        <w:tc>
          <w:tcPr>
            <w:tcW w:w="4349"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3.1节 增加IP防护等级、</w:t>
            </w:r>
          </w:p>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5章 增加IAP功能支持、</w:t>
            </w:r>
          </w:p>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5.1节 增加软件控制特殊要求</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2021.05.26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D.2</w:t>
            </w:r>
          </w:p>
        </w:tc>
        <w:tc>
          <w:tcPr>
            <w:tcW w:w="4349"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5.1节 明确通信故障时，保留DO10输出，其他DO点断开</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2021.05.27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D.3</w:t>
            </w:r>
          </w:p>
        </w:tc>
        <w:tc>
          <w:tcPr>
            <w:tcW w:w="4349"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第3节增加螺钉材质要求</w:t>
            </w:r>
          </w:p>
          <w:p>
            <w:pPr>
              <w:pStyle w:val="156"/>
              <w:keepNext w:val="0"/>
              <w:keepLines w:val="0"/>
              <w:widowControl/>
              <w:suppressLineNumbers w:val="0"/>
              <w:spacing w:beforeAutospacing="0" w:after="0" w:afterAutospacing="0"/>
              <w:ind w:left="0" w:right="0"/>
              <w:rPr>
                <w:rFonts w:hint="default"/>
              </w:rPr>
            </w:pPr>
            <w:r>
              <w:rPr>
                <w:rFonts w:hint="eastAsia"/>
              </w:rPr>
              <w:t>第6.1节增加盐雾试验要求</w:t>
            </w:r>
          </w:p>
          <w:p>
            <w:pPr>
              <w:pStyle w:val="156"/>
              <w:keepNext w:val="0"/>
              <w:keepLines w:val="0"/>
              <w:widowControl/>
              <w:suppressLineNumbers w:val="0"/>
              <w:spacing w:beforeAutospacing="0" w:after="0" w:afterAutospacing="0"/>
              <w:ind w:left="0" w:right="0"/>
              <w:rPr>
                <w:rFonts w:hint="default"/>
              </w:rPr>
            </w:pPr>
            <w:r>
              <w:rPr>
                <w:rFonts w:hint="eastAsia"/>
              </w:rPr>
              <w:t>附录3 增加端子定义</w:t>
            </w:r>
          </w:p>
          <w:p>
            <w:pPr>
              <w:pStyle w:val="156"/>
              <w:keepNext w:val="0"/>
              <w:keepLines w:val="0"/>
              <w:widowControl/>
              <w:suppressLineNumbers w:val="0"/>
              <w:spacing w:beforeAutospacing="0" w:after="0" w:afterAutospacing="0"/>
              <w:ind w:left="0" w:right="0"/>
              <w:rPr>
                <w:rFonts w:hint="default"/>
              </w:rPr>
            </w:pPr>
            <w:r>
              <w:rPr>
                <w:rFonts w:hint="eastAsia"/>
              </w:rPr>
              <w:t>明确软件版本为V1008</w:t>
            </w:r>
          </w:p>
        </w:tc>
        <w:tc>
          <w:tcPr>
            <w:tcW w:w="1650" w:type="dxa"/>
            <w:vAlign w:val="center"/>
          </w:tcPr>
          <w:p>
            <w:pPr>
              <w:pStyle w:val="156"/>
              <w:keepNext w:val="0"/>
              <w:keepLines w:val="0"/>
              <w:widowControl/>
              <w:suppressLineNumbers w:val="0"/>
              <w:spacing w:beforeAutospacing="0" w:after="0" w:afterAutospacing="0"/>
              <w:ind w:left="0" w:right="0"/>
              <w:rPr>
                <w:rFonts w:hint="default" w:ascii="宋体" w:hAnsi="宋体"/>
              </w:rPr>
            </w:pPr>
            <w:r>
              <w:rPr>
                <w:rFonts w:hint="eastAsia" w:ascii="宋体" w:hAnsi="宋体"/>
              </w:rPr>
              <w:t>许艳光</w:t>
            </w:r>
          </w:p>
        </w:tc>
        <w:tc>
          <w:tcPr>
            <w:tcW w:w="1557"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2021.05.28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1276" w:type="dxa"/>
            <w:vAlign w:val="center"/>
          </w:tcPr>
          <w:p>
            <w:pPr>
              <w:pStyle w:val="156"/>
              <w:keepNext w:val="0"/>
              <w:keepLines w:val="0"/>
              <w:widowControl/>
              <w:suppressLineNumbers w:val="0"/>
              <w:spacing w:beforeAutospacing="0" w:after="0" w:afterAutospacing="0"/>
              <w:ind w:left="0" w:right="0"/>
              <w:rPr>
                <w:rFonts w:hint="eastAsia"/>
                <w:color w:val="FF0000"/>
              </w:rPr>
            </w:pPr>
            <w:r>
              <w:rPr>
                <w:rFonts w:hint="eastAsia"/>
                <w:color w:val="FF0000"/>
              </w:rPr>
              <w:t>E</w:t>
            </w:r>
          </w:p>
        </w:tc>
        <w:tc>
          <w:tcPr>
            <w:tcW w:w="4349" w:type="dxa"/>
            <w:vAlign w:val="center"/>
          </w:tcPr>
          <w:p>
            <w:pPr>
              <w:pStyle w:val="156"/>
              <w:keepNext w:val="0"/>
              <w:keepLines w:val="0"/>
              <w:widowControl/>
              <w:suppressLineNumbers w:val="0"/>
              <w:spacing w:beforeAutospacing="0" w:after="0" w:afterAutospacing="0"/>
              <w:ind w:left="0" w:right="0"/>
              <w:jc w:val="left"/>
              <w:rPr>
                <w:rFonts w:hint="eastAsia"/>
                <w:color w:val="FF0000"/>
              </w:rPr>
            </w:pPr>
            <w:r>
              <w:rPr>
                <w:rFonts w:hint="eastAsia"/>
                <w:color w:val="FF0000"/>
              </w:rPr>
              <w:t>1，更正EEV的技术要求。</w:t>
            </w:r>
          </w:p>
          <w:p>
            <w:pPr>
              <w:pStyle w:val="156"/>
              <w:keepNext w:val="0"/>
              <w:keepLines w:val="0"/>
              <w:widowControl/>
              <w:suppressLineNumbers w:val="0"/>
              <w:spacing w:beforeAutospacing="0" w:after="0" w:afterAutospacing="0"/>
              <w:ind w:left="0" w:right="0"/>
              <w:jc w:val="left"/>
              <w:rPr>
                <w:rFonts w:hint="default"/>
                <w:color w:val="FF0000"/>
              </w:rPr>
            </w:pPr>
            <w:r>
              <w:rPr>
                <w:rFonts w:hint="eastAsia"/>
                <w:color w:val="FF0000"/>
              </w:rPr>
              <w:t>2，附录3增加电气接口的使用说明描述。</w:t>
            </w:r>
          </w:p>
        </w:tc>
        <w:tc>
          <w:tcPr>
            <w:tcW w:w="1650" w:type="dxa"/>
            <w:vAlign w:val="center"/>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马秋香</w:t>
            </w:r>
          </w:p>
        </w:tc>
        <w:tc>
          <w:tcPr>
            <w:tcW w:w="1557" w:type="dxa"/>
            <w:vAlign w:val="center"/>
          </w:tcPr>
          <w:p>
            <w:pPr>
              <w:pStyle w:val="156"/>
              <w:keepNext w:val="0"/>
              <w:keepLines w:val="0"/>
              <w:widowControl/>
              <w:suppressLineNumbers w:val="0"/>
              <w:spacing w:beforeAutospacing="0" w:after="0" w:afterAutospacing="0"/>
              <w:ind w:left="0" w:right="0"/>
              <w:rPr>
                <w:rFonts w:hint="default"/>
                <w:color w:val="FF0000"/>
              </w:rPr>
            </w:pPr>
            <w:r>
              <w:rPr>
                <w:rFonts w:hint="eastAsia"/>
                <w:color w:val="FF0000"/>
              </w:rPr>
              <w:t>2024.10.9</w:t>
            </w:r>
          </w:p>
        </w:tc>
      </w:tr>
    </w:tbl>
    <w:p>
      <w:pPr>
        <w:ind w:firstLine="480"/>
      </w:pPr>
    </w:p>
    <w:p>
      <w:pPr>
        <w:widowControl/>
        <w:spacing w:line="240" w:lineRule="auto"/>
        <w:ind w:firstLine="0" w:firstLineChars="0"/>
        <w:jc w:val="left"/>
        <w:rPr>
          <w:rFonts w:ascii="宋体" w:hAnsi="宋体" w:eastAsia="黑体"/>
          <w:bCs/>
          <w:szCs w:val="44"/>
        </w:rPr>
      </w:pPr>
      <w:r>
        <w:br w:type="page"/>
      </w:r>
    </w:p>
    <w:p>
      <w:pPr>
        <w:pStyle w:val="2"/>
        <w:spacing w:before="240" w:after="120"/>
      </w:pPr>
      <w:r>
        <w:t>主题</w:t>
      </w:r>
    </w:p>
    <w:p>
      <w:pPr>
        <w:ind w:firstLine="480"/>
      </w:pPr>
      <w:r>
        <w:t>本技术条件规定</w:t>
      </w:r>
      <w:r>
        <w:rPr>
          <w:rFonts w:hint="eastAsia"/>
        </w:rPr>
        <w:t>了KIO</w:t>
      </w:r>
      <w:r>
        <w:t>02-01</w:t>
      </w:r>
      <w:r>
        <w:rPr>
          <w:rFonts w:hint="eastAsia"/>
        </w:rPr>
        <w:t>C型控制器</w:t>
      </w:r>
      <w:r>
        <w:t>（以下简称KIO）的技术、试验等要求。适用于KIO02-01</w:t>
      </w:r>
      <w:r>
        <w:rPr>
          <w:rFonts w:hint="eastAsia"/>
        </w:rPr>
        <w:t>C型</w:t>
      </w:r>
      <w:r>
        <w:t>控制器的订货和检查验收</w:t>
      </w:r>
      <w:r>
        <w:rPr>
          <w:rFonts w:hint="eastAsia"/>
        </w:rPr>
        <w:t>。</w:t>
      </w:r>
    </w:p>
    <w:p>
      <w:pPr>
        <w:ind w:firstLine="480"/>
      </w:pPr>
      <w:r>
        <w:rPr>
          <w:rFonts w:hint="eastAsia"/>
        </w:rPr>
        <w:t>物料信息：</w:t>
      </w:r>
    </w:p>
    <w:tbl>
      <w:tblPr>
        <w:tblStyle w:val="61"/>
        <w:tblW w:w="58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934"/>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696" w:type="dxa"/>
            <w:vAlign w:val="center"/>
          </w:tcPr>
          <w:p>
            <w:pPr>
              <w:pStyle w:val="156"/>
              <w:keepNext w:val="0"/>
              <w:keepLines w:val="0"/>
              <w:widowControl w:val="0"/>
              <w:suppressLineNumbers w:val="0"/>
              <w:spacing w:beforeAutospacing="0" w:after="0" w:afterAutospacing="0"/>
              <w:ind w:left="0" w:right="0"/>
              <w:rPr>
                <w:rFonts w:hint="default"/>
              </w:rPr>
            </w:pPr>
            <w:r>
              <w:rPr>
                <w:rFonts w:hint="eastAsia"/>
              </w:rPr>
              <w:t>物料名称</w:t>
            </w:r>
          </w:p>
        </w:tc>
        <w:tc>
          <w:tcPr>
            <w:tcW w:w="1934" w:type="dxa"/>
            <w:vAlign w:val="center"/>
          </w:tcPr>
          <w:p>
            <w:pPr>
              <w:pStyle w:val="156"/>
              <w:keepNext w:val="0"/>
              <w:keepLines w:val="0"/>
              <w:widowControl w:val="0"/>
              <w:suppressLineNumbers w:val="0"/>
              <w:spacing w:beforeAutospacing="0" w:after="0" w:afterAutospacing="0"/>
              <w:ind w:left="0" w:right="0"/>
              <w:rPr>
                <w:rFonts w:hint="default"/>
              </w:rPr>
            </w:pPr>
            <w:r>
              <w:rPr>
                <w:rFonts w:hint="eastAsia"/>
              </w:rPr>
              <w:t>型号</w:t>
            </w:r>
          </w:p>
        </w:tc>
        <w:tc>
          <w:tcPr>
            <w:tcW w:w="2230" w:type="dxa"/>
            <w:vAlign w:val="center"/>
          </w:tcPr>
          <w:p>
            <w:pPr>
              <w:pStyle w:val="156"/>
              <w:keepNext w:val="0"/>
              <w:keepLines w:val="0"/>
              <w:widowControl w:val="0"/>
              <w:suppressLineNumbers w:val="0"/>
              <w:spacing w:beforeAutospacing="0" w:after="0" w:afterAutospacing="0"/>
              <w:ind w:left="0" w:right="0"/>
              <w:rPr>
                <w:rFonts w:hint="default"/>
              </w:rPr>
            </w:pPr>
            <w:r>
              <w:rPr>
                <w:rFonts w:hint="eastAsia"/>
              </w:rPr>
              <w:t>物料代码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696" w:type="dxa"/>
            <w:vAlign w:val="center"/>
          </w:tcPr>
          <w:p>
            <w:pPr>
              <w:pStyle w:val="156"/>
              <w:keepNext w:val="0"/>
              <w:keepLines w:val="0"/>
              <w:widowControl w:val="0"/>
              <w:suppressLineNumbers w:val="0"/>
              <w:spacing w:beforeAutospacing="0" w:after="0" w:afterAutospacing="0"/>
              <w:ind w:left="0" w:right="0"/>
              <w:rPr>
                <w:rFonts w:hint="default"/>
              </w:rPr>
            </w:pPr>
            <w:r>
              <w:rPr>
                <w:rFonts w:hint="eastAsia"/>
              </w:rPr>
              <w:t>控制器</w:t>
            </w:r>
          </w:p>
        </w:tc>
        <w:tc>
          <w:tcPr>
            <w:tcW w:w="1934" w:type="dxa"/>
            <w:vAlign w:val="center"/>
          </w:tcPr>
          <w:p>
            <w:pPr>
              <w:pStyle w:val="156"/>
              <w:keepNext w:val="0"/>
              <w:keepLines w:val="0"/>
              <w:widowControl w:val="0"/>
              <w:suppressLineNumbers w:val="0"/>
              <w:spacing w:beforeAutospacing="0" w:after="0" w:afterAutospacing="0"/>
              <w:ind w:left="0" w:right="0"/>
              <w:rPr>
                <w:rFonts w:hint="default"/>
              </w:rPr>
            </w:pPr>
            <w:bookmarkStart w:id="116" w:name="OLE_LINK1"/>
            <w:bookmarkStart w:id="117" w:name="OLE_LINK2"/>
            <w:r>
              <w:rPr>
                <w:rFonts w:hint="eastAsia"/>
              </w:rPr>
              <w:t>KIO</w:t>
            </w:r>
            <w:r>
              <w:rPr>
                <w:rFonts w:hint="default"/>
              </w:rPr>
              <w:t>02-0</w:t>
            </w:r>
            <w:bookmarkEnd w:id="116"/>
            <w:bookmarkEnd w:id="117"/>
            <w:r>
              <w:rPr>
                <w:rFonts w:hint="default"/>
              </w:rPr>
              <w:t>1</w:t>
            </w:r>
            <w:r>
              <w:rPr>
                <w:rFonts w:hint="eastAsia"/>
              </w:rPr>
              <w:t>C</w:t>
            </w:r>
          </w:p>
        </w:tc>
        <w:tc>
          <w:tcPr>
            <w:tcW w:w="2230" w:type="dxa"/>
            <w:vAlign w:val="center"/>
          </w:tcPr>
          <w:p>
            <w:pPr>
              <w:pStyle w:val="156"/>
              <w:keepNext w:val="0"/>
              <w:keepLines w:val="0"/>
              <w:widowControl w:val="0"/>
              <w:suppressLineNumbers w:val="0"/>
              <w:spacing w:beforeAutospacing="0" w:after="0" w:afterAutospacing="0"/>
              <w:ind w:left="0" w:right="0"/>
              <w:rPr>
                <w:rFonts w:hint="default"/>
              </w:rPr>
            </w:pPr>
            <w:r>
              <w:rPr>
                <w:rFonts w:hint="default"/>
              </w:rPr>
              <w:t>2.02.25.0286</w:t>
            </w:r>
          </w:p>
        </w:tc>
      </w:tr>
    </w:tbl>
    <w:p>
      <w:pPr>
        <w:ind w:firstLine="480"/>
      </w:pPr>
      <w:r>
        <w:rPr>
          <w:rFonts w:hint="eastAsia"/>
        </w:rPr>
        <w:t>附件清单：</w:t>
      </w:r>
    </w:p>
    <w:tbl>
      <w:tblPr>
        <w:tblStyle w:val="61"/>
        <w:tblW w:w="80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096"/>
        <w:gridCol w:w="2416"/>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品牌</w:t>
            </w:r>
          </w:p>
        </w:tc>
        <w:tc>
          <w:tcPr>
            <w:tcW w:w="2096"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型号</w:t>
            </w:r>
          </w:p>
        </w:tc>
        <w:tc>
          <w:tcPr>
            <w:tcW w:w="2416"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规格</w:t>
            </w:r>
          </w:p>
        </w:tc>
        <w:tc>
          <w:tcPr>
            <w:tcW w:w="1725"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泰科</w:t>
            </w:r>
          </w:p>
        </w:tc>
        <w:tc>
          <w:tcPr>
            <w:tcW w:w="2096"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4-1437290-0</w:t>
            </w:r>
          </w:p>
        </w:tc>
        <w:tc>
          <w:tcPr>
            <w:tcW w:w="2416"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34</w:t>
            </w:r>
            <w:r>
              <w:rPr>
                <w:rFonts w:hint="eastAsia"/>
              </w:rPr>
              <w:t>位线端插头</w:t>
            </w:r>
          </w:p>
        </w:tc>
        <w:tc>
          <w:tcPr>
            <w:tcW w:w="1725"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泰科</w:t>
            </w:r>
          </w:p>
        </w:tc>
        <w:tc>
          <w:tcPr>
            <w:tcW w:w="2096"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3-1437290-7</w:t>
            </w:r>
          </w:p>
        </w:tc>
        <w:tc>
          <w:tcPr>
            <w:tcW w:w="2416"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2</w:t>
            </w:r>
            <w:r>
              <w:rPr>
                <w:rFonts w:hint="default"/>
              </w:rPr>
              <w:t>6</w:t>
            </w:r>
            <w:r>
              <w:rPr>
                <w:rFonts w:hint="eastAsia"/>
              </w:rPr>
              <w:t>位线端插头</w:t>
            </w:r>
          </w:p>
        </w:tc>
        <w:tc>
          <w:tcPr>
            <w:tcW w:w="1725"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泰科</w:t>
            </w:r>
          </w:p>
        </w:tc>
        <w:tc>
          <w:tcPr>
            <w:tcW w:w="2096"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4-1437290-1</w:t>
            </w:r>
          </w:p>
        </w:tc>
        <w:tc>
          <w:tcPr>
            <w:tcW w:w="2416"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34</w:t>
            </w:r>
            <w:r>
              <w:rPr>
                <w:rFonts w:hint="eastAsia"/>
              </w:rPr>
              <w:t>位线端插头</w:t>
            </w:r>
          </w:p>
        </w:tc>
        <w:tc>
          <w:tcPr>
            <w:tcW w:w="1725"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泰科</w:t>
            </w:r>
          </w:p>
        </w:tc>
        <w:tc>
          <w:tcPr>
            <w:tcW w:w="2096"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1</w:t>
            </w:r>
            <w:r>
              <w:rPr>
                <w:rFonts w:hint="default"/>
              </w:rPr>
              <w:t>473416-1</w:t>
            </w:r>
          </w:p>
        </w:tc>
        <w:tc>
          <w:tcPr>
            <w:tcW w:w="2416" w:type="dxa"/>
          </w:tcPr>
          <w:p>
            <w:pPr>
              <w:pStyle w:val="156"/>
              <w:keepNext w:val="0"/>
              <w:keepLines w:val="0"/>
              <w:widowControl w:val="0"/>
              <w:suppressLineNumbers w:val="0"/>
              <w:spacing w:beforeAutospacing="0" w:after="0" w:afterAutospacing="0"/>
              <w:ind w:left="0" w:right="0" w:firstLine="420"/>
              <w:rPr>
                <w:rFonts w:hint="default"/>
              </w:rPr>
            </w:pPr>
            <w:r>
              <w:rPr>
                <w:rFonts w:hint="eastAsia"/>
              </w:rPr>
              <w:t>2</w:t>
            </w:r>
            <w:r>
              <w:rPr>
                <w:rFonts w:hint="default"/>
              </w:rPr>
              <w:t>6</w:t>
            </w:r>
            <w:r>
              <w:rPr>
                <w:rFonts w:hint="eastAsia"/>
              </w:rPr>
              <w:t>位线端插头</w:t>
            </w:r>
          </w:p>
        </w:tc>
        <w:tc>
          <w:tcPr>
            <w:tcW w:w="1725" w:type="dxa"/>
          </w:tcPr>
          <w:p>
            <w:pPr>
              <w:pStyle w:val="156"/>
              <w:keepNext w:val="0"/>
              <w:keepLines w:val="0"/>
              <w:widowControl w:val="0"/>
              <w:suppressLineNumbers w:val="0"/>
              <w:spacing w:beforeAutospacing="0" w:after="0" w:afterAutospacing="0"/>
              <w:ind w:left="0" w:right="0" w:firstLine="420"/>
              <w:rPr>
                <w:rFonts w:hint="default"/>
              </w:rPr>
            </w:pPr>
            <w:r>
              <w:rPr>
                <w:rFonts w:hint="default"/>
              </w:rPr>
              <w:t>1</w:t>
            </w:r>
          </w:p>
        </w:tc>
      </w:tr>
    </w:tbl>
    <w:p>
      <w:pPr>
        <w:ind w:firstLine="480"/>
      </w:pPr>
      <w:r>
        <w:rPr>
          <w:rFonts w:hint="eastAsia"/>
        </w:rPr>
        <w:t>KIO附件均采用密封袋包装，包装上粘贴附件型号（KIO列控制器附件）等标识，包装袋内同时含附件清单，包含附件插头的品牌、规格型号、数量等。</w:t>
      </w:r>
    </w:p>
    <w:p>
      <w:pPr>
        <w:pStyle w:val="2"/>
        <w:spacing w:before="240" w:after="120"/>
      </w:pPr>
      <w:r>
        <w:t>引用标准及相关文件</w:t>
      </w:r>
    </w:p>
    <w:p>
      <w:pPr>
        <w:ind w:firstLine="480"/>
      </w:pPr>
      <w:r>
        <w:t>下列标准所包含的条文，通过在本技术条件中引用而成为本技术条件的条文。所有标准都会被修订，使用本技术条件时，未标注版本的标准应使用最新版本。</w:t>
      </w:r>
    </w:p>
    <w:p>
      <w:pPr>
        <w:ind w:firstLine="480"/>
      </w:pPr>
      <w:r>
        <w:t xml:space="preserve">EN 50155       《铁道机车车辆电子装置》 </w:t>
      </w:r>
    </w:p>
    <w:p>
      <w:pPr>
        <w:ind w:firstLine="480"/>
      </w:pPr>
      <w:r>
        <w:t xml:space="preserve">EN 50121-3-2   《机车车辆电气设备电磁兼容性试验及其限值》 第3-2部分 </w:t>
      </w:r>
    </w:p>
    <w:p>
      <w:pPr>
        <w:ind w:firstLine="480"/>
      </w:pPr>
      <w:r>
        <w:t>IEC 61373      《铁路设施-铁路车辆设备-冲击和振动试验》</w:t>
      </w:r>
    </w:p>
    <w:p>
      <w:pPr>
        <w:ind w:firstLine="480"/>
      </w:pPr>
      <w:r>
        <w:rPr>
          <w:rFonts w:hint="eastAsia"/>
        </w:rPr>
        <w:t>EN</w:t>
      </w:r>
      <w:r>
        <w:t xml:space="preserve"> </w:t>
      </w:r>
      <w:r>
        <w:rPr>
          <w:rFonts w:hint="eastAsia"/>
        </w:rPr>
        <w:t>45545</w:t>
      </w:r>
      <w:r>
        <w:t>-2</w:t>
      </w:r>
      <w:r>
        <w:tab/>
      </w:r>
      <w:r>
        <w:tab/>
      </w:r>
      <w:r>
        <w:rPr>
          <w:rFonts w:hint="eastAsia"/>
        </w:rPr>
        <w:t>《材料及元件的防火要求》</w:t>
      </w:r>
    </w:p>
    <w:p>
      <w:pPr>
        <w:ind w:firstLine="480"/>
      </w:pPr>
      <w:r>
        <w:t>GB/T 2423      《电工电子产品环境试验》低温、高温、交变湿热试验部分</w:t>
      </w:r>
    </w:p>
    <w:p>
      <w:pPr>
        <w:ind w:firstLine="480"/>
      </w:pPr>
      <w:r>
        <w:t>GB/T 21413.1   《铁路应用 机车车辆电气设备》第1部分：一般使用条件和通用规则</w:t>
      </w:r>
    </w:p>
    <w:p>
      <w:pPr>
        <w:ind w:firstLine="480"/>
      </w:pPr>
      <w:r>
        <w:t>IEC61131-2     《可编程控制器–2部分:设备需求和测试》</w:t>
      </w:r>
    </w:p>
    <w:p>
      <w:pPr>
        <w:ind w:firstLine="480"/>
      </w:pPr>
      <w:r>
        <w:t>EN60068       《环境试验》系列</w:t>
      </w:r>
    </w:p>
    <w:p>
      <w:pPr>
        <w:ind w:firstLine="480"/>
      </w:pPr>
      <w:r>
        <w:t>EN50126       《铁路应用：可靠性，可用性，可维护性与安全性的规范要求与证明（RAMS）》</w:t>
      </w:r>
    </w:p>
    <w:p>
      <w:pPr>
        <w:pStyle w:val="2"/>
        <w:spacing w:before="240" w:after="120"/>
      </w:pPr>
      <w:r>
        <w:t>K</w:t>
      </w:r>
      <w:r>
        <w:rPr>
          <w:rFonts w:hint="eastAsia"/>
        </w:rPr>
        <w:t>IO</w:t>
      </w:r>
      <w:r>
        <w:t>硬件参数</w:t>
      </w:r>
    </w:p>
    <w:p>
      <w:pPr>
        <w:pStyle w:val="3"/>
        <w:tabs>
          <w:tab w:val="left" w:pos="0"/>
          <w:tab w:val="clear" w:pos="567"/>
        </w:tabs>
        <w:spacing w:before="120"/>
      </w:pPr>
      <w:r>
        <w:t>应用环境条件</w:t>
      </w:r>
    </w:p>
    <w:p>
      <w:pPr>
        <w:ind w:firstLine="480"/>
      </w:pPr>
      <w:r>
        <w:t>环境温度：－25</w:t>
      </w:r>
      <w:r>
        <w:rPr>
          <w:rFonts w:hint="eastAsia"/>
        </w:rPr>
        <w:t>℃</w:t>
      </w:r>
      <w:r>
        <w:t>～＋70</w:t>
      </w:r>
      <w:r>
        <w:rPr>
          <w:rFonts w:hint="eastAsia"/>
        </w:rPr>
        <w:t>℃</w:t>
      </w:r>
    </w:p>
    <w:p>
      <w:pPr>
        <w:ind w:firstLine="480"/>
      </w:pPr>
      <w:r>
        <w:t>存储温度：－40</w:t>
      </w:r>
      <w:r>
        <w:rPr>
          <w:rFonts w:hint="eastAsia"/>
        </w:rPr>
        <w:t>℃</w:t>
      </w:r>
      <w:r>
        <w:t>～＋85</w:t>
      </w:r>
      <w:r>
        <w:rPr>
          <w:rFonts w:hint="eastAsia"/>
        </w:rPr>
        <w:t>℃</w:t>
      </w:r>
    </w:p>
    <w:p>
      <w:pPr>
        <w:ind w:firstLine="480"/>
      </w:pPr>
      <w:r>
        <w:t>相对湿度： 0%～95%</w:t>
      </w:r>
    </w:p>
    <w:p>
      <w:pPr>
        <w:ind w:firstLine="480"/>
      </w:pPr>
      <w:r>
        <w:t>海拔高度： &lt;3000 m</w:t>
      </w:r>
    </w:p>
    <w:p>
      <w:pPr>
        <w:ind w:firstLine="480"/>
      </w:pPr>
      <w:r>
        <w:rPr>
          <w:rFonts w:hint="eastAsia"/>
        </w:rPr>
        <w:t>防护等级：IP54</w:t>
      </w:r>
    </w:p>
    <w:p>
      <w:pPr>
        <w:ind w:firstLine="480"/>
      </w:pPr>
      <w:r>
        <w:rPr>
          <w:rFonts w:hint="eastAsia"/>
        </w:rPr>
        <w:t>螺钉材质：不锈钢</w:t>
      </w:r>
    </w:p>
    <w:p>
      <w:pPr>
        <w:pStyle w:val="3"/>
        <w:tabs>
          <w:tab w:val="left" w:pos="0"/>
          <w:tab w:val="clear" w:pos="567"/>
        </w:tabs>
        <w:spacing w:before="120"/>
      </w:pPr>
      <w:r>
        <w:t>硬件结构</w:t>
      </w:r>
    </w:p>
    <w:p>
      <w:pPr>
        <w:ind w:firstLine="480"/>
      </w:pPr>
      <w:r>
        <w:rPr>
          <w:rFonts w:hint="eastAsia" w:ascii="宋体" w:hAnsi="宋体"/>
        </w:rPr>
        <w:t xml:space="preserve">◆ </w:t>
      </w:r>
      <w:r>
        <w:rPr>
          <w:rFonts w:hint="eastAsia"/>
        </w:rPr>
        <w:t>芯片更新换代的管控要求：要求所有影响软件的电子元器件采购期至少能维持15年。</w:t>
      </w:r>
    </w:p>
    <w:p>
      <w:pPr>
        <w:ind w:firstLine="480"/>
      </w:pPr>
      <w:r>
        <w:rPr>
          <w:rFonts w:hint="eastAsia" w:ascii="宋体" w:hAnsi="宋体"/>
        </w:rPr>
        <w:t xml:space="preserve">◆ </w:t>
      </w:r>
      <w:r>
        <w:rPr>
          <w:rFonts w:hint="eastAsia"/>
        </w:rPr>
        <w:t>采购期风险评估的要求：要求每年对在产型号进行梳理，若有不能够满足15年采购期的型号需向我司发起型号停用申请。</w:t>
      </w:r>
    </w:p>
    <w:p>
      <w:pPr>
        <w:pStyle w:val="3"/>
        <w:tabs>
          <w:tab w:val="left" w:pos="0"/>
          <w:tab w:val="clear" w:pos="567"/>
        </w:tabs>
        <w:spacing w:before="120"/>
      </w:pPr>
      <w:r>
        <w:rPr>
          <w:rFonts w:hint="eastAsia"/>
        </w:rPr>
        <w:t>KIO硬件需求</w:t>
      </w:r>
    </w:p>
    <w:p>
      <w:pPr>
        <w:ind w:firstLine="480"/>
      </w:pPr>
      <w:r>
        <w:t>该模块支持的资源类型如下：</w:t>
      </w:r>
    </w:p>
    <w:tbl>
      <w:tblPr>
        <w:tblStyle w:val="60"/>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732"/>
        <w:gridCol w:w="708"/>
        <w:gridCol w:w="4014"/>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序号</w:t>
            </w:r>
          </w:p>
        </w:tc>
        <w:tc>
          <w:tcPr>
            <w:tcW w:w="1732"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资源类型</w:t>
            </w:r>
          </w:p>
        </w:tc>
        <w:tc>
          <w:tcPr>
            <w:tcW w:w="708"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数量</w:t>
            </w:r>
          </w:p>
        </w:tc>
        <w:tc>
          <w:tcPr>
            <w:tcW w:w="4014"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规格参数</w:t>
            </w:r>
          </w:p>
        </w:tc>
        <w:tc>
          <w:tcPr>
            <w:tcW w:w="1371"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rPr>
                <w:rFonts w:hint="default"/>
              </w:rPr>
            </w:pPr>
            <w:r>
              <w:rPr>
                <w:rFonts w:hint="default"/>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电源输入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16～33.5V</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数字量输入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24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 /隔离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3</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单路</w:t>
            </w:r>
            <w:r>
              <w:rPr>
                <w:rFonts w:hint="default"/>
              </w:rPr>
              <w:t>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12</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DC24V/2A  DC110V/0.2A/隔离</w:t>
            </w:r>
            <w:r>
              <w:rPr>
                <w:rFonts w:hint="eastAsia"/>
              </w:rPr>
              <w:t>(共正)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4</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双路数字量输出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DC24V/2A  DC110V/0.2A/隔离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5</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6</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NTC10K，-50～100</w:t>
            </w:r>
            <w:r>
              <w:rPr>
                <w:rFonts w:hint="eastAsia"/>
              </w:rPr>
              <w:t>℃</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6</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4</w:t>
            </w:r>
            <w:r>
              <w:rPr>
                <w:rFonts w:hint="default"/>
              </w:rPr>
              <w:t>～</w:t>
            </w:r>
            <w:r>
              <w:rPr>
                <w:rFonts w:hint="eastAsia"/>
              </w:rPr>
              <w:t>20mA</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7</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模拟量输入</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4</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0～10V</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8</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SRAM</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≥128K Byte</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9</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隔离</w:t>
            </w:r>
            <w:r>
              <w:rPr>
                <w:rFonts w:hint="default"/>
              </w:rPr>
              <w:t>SWD接口</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泰科端子座</w:t>
            </w:r>
            <w:r>
              <w:rPr>
                <w:rFonts w:hint="default"/>
              </w:rPr>
              <w:t>接口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w:t>
            </w:r>
            <w:r>
              <w:rPr>
                <w:rFonts w:hint="default"/>
              </w:rPr>
              <w:t>0</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RS485</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最大波特率支持</w:t>
            </w:r>
            <w:r>
              <w:rPr>
                <w:rFonts w:hint="default"/>
              </w:rPr>
              <w:t>115200bps/隔离</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w:t>
            </w:r>
            <w:r>
              <w:rPr>
                <w:rFonts w:hint="default"/>
              </w:rPr>
              <w:t>1</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电子膨胀阀</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2</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color w:val="FF0000"/>
              </w:rPr>
              <w:t>2</w:t>
            </w:r>
            <w:r>
              <w:rPr>
                <w:rFonts w:hint="eastAsia"/>
                <w:color w:val="FF0000"/>
              </w:rPr>
              <w:t>路EEV驱动/输出4路接口</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5.8节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0"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eastAsia"/>
              </w:rPr>
              <w:t>12</w:t>
            </w:r>
          </w:p>
        </w:tc>
        <w:tc>
          <w:tcPr>
            <w:tcW w:w="1732"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电源输出</w:t>
            </w:r>
          </w:p>
        </w:tc>
        <w:tc>
          <w:tcPr>
            <w:tcW w:w="708"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1</w:t>
            </w:r>
          </w:p>
        </w:tc>
        <w:tc>
          <w:tcPr>
            <w:tcW w:w="401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5V/100mA</w:t>
            </w:r>
          </w:p>
        </w:tc>
        <w:tc>
          <w:tcPr>
            <w:tcW w:w="1371"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rPr>
                <w:rFonts w:hint="default"/>
              </w:rPr>
            </w:pPr>
            <w:r>
              <w:rPr>
                <w:rFonts w:hint="default"/>
              </w:rPr>
              <w:t>5.1节</w:t>
            </w:r>
          </w:p>
        </w:tc>
      </w:tr>
    </w:tbl>
    <w:p>
      <w:pPr>
        <w:pStyle w:val="2"/>
        <w:spacing w:before="240" w:after="120"/>
      </w:pPr>
      <w:r>
        <w:t>电路设计原则</w:t>
      </w:r>
    </w:p>
    <w:p>
      <w:pPr>
        <w:ind w:firstLine="480"/>
      </w:pPr>
      <w:r>
        <w:t>数字量输入DC24V，模拟量输入的电压、电流、电阻</w:t>
      </w:r>
      <w:r>
        <w:rPr>
          <w:rFonts w:hint="eastAsia"/>
        </w:rPr>
        <w:t>型等</w:t>
      </w:r>
      <w:r>
        <w:t>符合BOM兼容原则。</w:t>
      </w:r>
    </w:p>
    <w:p>
      <w:pPr>
        <w:pStyle w:val="3"/>
        <w:tabs>
          <w:tab w:val="left" w:pos="0"/>
          <w:tab w:val="clear" w:pos="567"/>
        </w:tabs>
        <w:spacing w:before="120"/>
      </w:pPr>
      <w:r>
        <w:t>电源</w:t>
      </w:r>
    </w:p>
    <w:p>
      <w:pPr>
        <w:pStyle w:val="4"/>
        <w:spacing w:before="24" w:after="24"/>
      </w:pPr>
      <w:r>
        <w:rPr>
          <w:rFonts w:hint="eastAsia"/>
        </w:rPr>
        <w:t>DC24V输入</w:t>
      </w:r>
    </w:p>
    <w:p>
      <w:pPr>
        <w:ind w:firstLine="480"/>
      </w:pPr>
      <w:r>
        <w:t>该控制器采用的24Vdc电源输入,电压波动范围为：16.8Vdc～30Vdc（符合EN50155标准），具有反接保护与过载保护。</w:t>
      </w:r>
    </w:p>
    <w:p>
      <w:pPr>
        <w:ind w:firstLine="480"/>
      </w:pPr>
      <w:r>
        <w:t>电源电路要求具有输入反极性保护功能，输入直流电源极性接反时，控制器不工作。</w:t>
      </w:r>
    </w:p>
    <w:p>
      <w:pPr>
        <w:ind w:firstLine="480"/>
      </w:pPr>
      <w:r>
        <w:t>输入电源电压的波动范围及控制器对应的工作状态定义如下：</w:t>
      </w:r>
    </w:p>
    <w:p>
      <w:pPr>
        <w:ind w:firstLine="480"/>
      </w:pPr>
      <w:r>
        <w:t>0.7Un～1.25Un(16.8Vdc～30Vdc)：电压正常波动范围；</w:t>
      </w:r>
    </w:p>
    <w:p>
      <w:pPr>
        <w:ind w:firstLine="480"/>
      </w:pPr>
      <w:r>
        <w:t>0.6Un～1.4Un(14.4Vdc～33.6Vdc)：如果波动持续时间不超过0.1S，控制器的功能不应改变；</w:t>
      </w:r>
    </w:p>
    <w:p>
      <w:pPr>
        <w:ind w:firstLine="480"/>
      </w:pPr>
      <w:r>
        <w:t>1.25Un～1.4Un(30Vdc～33.6Vdc):0.1S～1S以内，控制器可能不正常但不应导致控制器损坏；</w:t>
      </w:r>
    </w:p>
    <w:p>
      <w:pPr>
        <w:ind w:firstLine="480"/>
      </w:pPr>
      <w:r>
        <w:t>1.25Un(30Vdc)电压超过1S，可能导致控制器损坏。</w:t>
      </w:r>
    </w:p>
    <w:p>
      <w:pPr>
        <w:pStyle w:val="4"/>
        <w:spacing w:before="24" w:after="24"/>
      </w:pPr>
      <w:r>
        <w:rPr>
          <w:rFonts w:hint="eastAsia"/>
        </w:rPr>
        <w:t>DC5V输出</w:t>
      </w:r>
    </w:p>
    <w:p>
      <w:pPr>
        <w:ind w:firstLine="480"/>
      </w:pPr>
      <w:r>
        <w:t>输出电压：5V，5%</w:t>
      </w:r>
      <w:r>
        <w:rPr>
          <w:rFonts w:hint="eastAsia"/>
        </w:rPr>
        <w:t>；</w:t>
      </w:r>
    </w:p>
    <w:p>
      <w:pPr>
        <w:ind w:firstLine="480"/>
      </w:pPr>
      <w:r>
        <w:t>输出电流：100mA</w:t>
      </w:r>
      <w:r>
        <w:rPr>
          <w:rFonts w:hint="eastAsia"/>
        </w:rPr>
        <w:t>；</w:t>
      </w:r>
    </w:p>
    <w:p>
      <w:pPr>
        <w:ind w:firstLine="480"/>
      </w:pPr>
      <w:r>
        <w:t>具备输出过流、短路保护功能。</w:t>
      </w:r>
    </w:p>
    <w:p>
      <w:pPr>
        <w:pStyle w:val="3"/>
        <w:tabs>
          <w:tab w:val="left" w:pos="0"/>
          <w:tab w:val="clear" w:pos="567"/>
        </w:tabs>
        <w:spacing w:before="120"/>
      </w:pPr>
      <w:r>
        <w:t>数字量输入点规格</w:t>
      </w:r>
    </w:p>
    <w:p>
      <w:pPr>
        <w:pStyle w:val="4"/>
        <w:spacing w:before="24" w:after="24"/>
      </w:pPr>
      <w:r>
        <w:t>隔离要求</w:t>
      </w:r>
    </w:p>
    <w:p>
      <w:pPr>
        <w:ind w:firstLine="480"/>
      </w:pPr>
      <w:r>
        <w:t>输入点到控制板逻辑电路之间采用光耦隔离。</w:t>
      </w:r>
    </w:p>
    <w:p>
      <w:pPr>
        <w:ind w:firstLine="480"/>
      </w:pPr>
      <w:r>
        <w:t>24Vdc输入：功能绝缘</w:t>
      </w:r>
      <w:r>
        <w:rPr>
          <w:rFonts w:hint="eastAsia"/>
        </w:rPr>
        <w:t>。</w:t>
      </w:r>
    </w:p>
    <w:p>
      <w:pPr>
        <w:pStyle w:val="4"/>
        <w:spacing w:before="24" w:after="24"/>
      </w:pPr>
      <w:r>
        <w:t>输入类型</w:t>
      </w:r>
    </w:p>
    <w:p>
      <w:pPr>
        <w:ind w:firstLine="480"/>
      </w:pPr>
      <w:r>
        <w:t>只支持源型输入。</w:t>
      </w:r>
    </w:p>
    <w:p>
      <w:pPr>
        <w:pStyle w:val="4"/>
        <w:spacing w:before="24" w:after="24"/>
      </w:pPr>
      <w:r>
        <w:t>输入特性</w:t>
      </w:r>
    </w:p>
    <w:p>
      <w:pPr>
        <w:ind w:firstLine="480"/>
      </w:pPr>
      <w:r>
        <w:rPr>
          <w:rFonts w:hint="eastAsia" w:asciiTheme="majorEastAsia" w:hAnsiTheme="majorEastAsia" w:eastAsiaTheme="majorEastAsia"/>
        </w:rPr>
        <w:t>DC</w:t>
      </w:r>
      <w:r>
        <w:rPr>
          <w:rFonts w:asciiTheme="majorEastAsia" w:hAnsiTheme="majorEastAsia" w:eastAsiaTheme="majorEastAsia"/>
        </w:rPr>
        <w:t xml:space="preserve"> 24V</w:t>
      </w:r>
      <w:r>
        <w:t>输入特性</w:t>
      </w:r>
      <w:r>
        <w:rPr>
          <w:rFonts w:hint="eastAsia"/>
        </w:rPr>
        <w:t>：DC</w:t>
      </w:r>
      <w:r>
        <w:t>24V输入电压波动范围：±30%</w:t>
      </w:r>
      <w:r>
        <w:rPr>
          <w:rFonts w:hint="eastAsia"/>
        </w:rPr>
        <w:t>。</w:t>
      </w:r>
    </w:p>
    <w:p>
      <w:pPr>
        <w:ind w:firstLine="480"/>
      </w:pPr>
      <w:r>
        <w:t>当输入信号电压在7.0V以下时判断为断开状态（OFF），当输入信号电压大于14.0V时判断为闭合状态（ON），在7.0V～14.0V之间其信号状态不确定。输入端设计的闭合状态输入信号的额定电压为DC24V，波动范围及控制器对应的工作状态定义参照控制器输入电源电压的定义。输入端在额定输入信号电压条件下，取用信号电流3.1mA(典型值)。各点采用硬件滤波，滤波常数为10ms。</w:t>
      </w:r>
    </w:p>
    <w:tbl>
      <w:tblPr>
        <w:tblStyle w:val="60"/>
        <w:tblW w:w="765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
      <w:tblGrid>
        <w:gridCol w:w="1276"/>
        <w:gridCol w:w="2551"/>
        <w:gridCol w:w="38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3827" w:type="dxa"/>
            <w:gridSpan w:val="2"/>
            <w:tcBorders>
              <w:right w:val="single" w:color="auto" w:sz="6" w:space="0"/>
            </w:tcBorders>
            <w:shd w:val="pct20"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3827" w:type="dxa"/>
            <w:tcBorders>
              <w:left w:val="single" w:color="auto" w:sz="6" w:space="0"/>
              <w:right w:val="single" w:color="auto" w:sz="6" w:space="0"/>
            </w:tcBorders>
            <w:shd w:val="pct20"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普通输入端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restart"/>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输入端口</w:t>
            </w: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输入阻抗</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5.6k（最小）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3.1mA  TYP.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ON 电压/电流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DC14V Min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trHeight w:val="405" w:hRule="atLeas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OFF 电压/电流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DC7V Max</w:t>
            </w:r>
          </w:p>
        </w:tc>
      </w:tr>
    </w:tbl>
    <w:p>
      <w:pPr>
        <w:pStyle w:val="3"/>
        <w:tabs>
          <w:tab w:val="left" w:pos="0"/>
          <w:tab w:val="clear" w:pos="567"/>
        </w:tabs>
        <w:spacing w:before="120"/>
      </w:pPr>
      <w:r>
        <w:t>数字量输出点规格</w:t>
      </w:r>
    </w:p>
    <w:p>
      <w:pPr>
        <w:pStyle w:val="4"/>
        <w:spacing w:before="24" w:after="24"/>
      </w:pPr>
      <w:r>
        <w:t>输出隔离</w:t>
      </w:r>
    </w:p>
    <w:p>
      <w:pPr>
        <w:ind w:firstLine="480"/>
      </w:pPr>
      <w:r>
        <w:t xml:space="preserve">输出与内部电路之间采用隔离设计。继电器输出的不同公共端的输出端之间采用加强绝缘隔离。 </w:t>
      </w:r>
    </w:p>
    <w:p>
      <w:pPr>
        <w:pStyle w:val="4"/>
        <w:spacing w:before="24" w:after="24"/>
      </w:pPr>
      <w:r>
        <w:t>输出特性</w:t>
      </w:r>
    </w:p>
    <w:p>
      <w:pPr>
        <w:ind w:firstLine="480"/>
      </w:pPr>
      <w:r>
        <w:rPr>
          <w:rFonts w:hint="eastAsia"/>
        </w:rPr>
        <w:t>固态继电器输出：</w:t>
      </w:r>
    </w:p>
    <w:p>
      <w:pPr>
        <w:pStyle w:val="153"/>
        <w:numPr>
          <w:ilvl w:val="0"/>
          <w:numId w:val="12"/>
        </w:numPr>
        <w:ind w:firstLineChars="0"/>
      </w:pPr>
      <w:r>
        <w:t>输出端口为固态继电器时，输出有效（状态“1”）时为闭合状态；输出禁止（状态“0”）时为断开状态；依据输出点数配置，设有多个公共端COM，适应不同电位的控制电路。</w:t>
      </w:r>
    </w:p>
    <w:p>
      <w:pPr>
        <w:pStyle w:val="153"/>
        <w:numPr>
          <w:ilvl w:val="0"/>
          <w:numId w:val="12"/>
        </w:numPr>
        <w:ind w:firstLineChars="0"/>
      </w:pPr>
      <w:r>
        <w:t>单点额定电流为1A；每个公共端的总电流小于8A</w:t>
      </w:r>
      <w:r>
        <w:rPr>
          <w:rFonts w:hint="eastAsia"/>
        </w:rPr>
        <w:t>。</w:t>
      </w:r>
    </w:p>
    <w:p>
      <w:pPr>
        <w:pStyle w:val="153"/>
        <w:numPr>
          <w:ilvl w:val="0"/>
          <w:numId w:val="12"/>
        </w:numPr>
        <w:ind w:firstLineChars="0"/>
      </w:pPr>
      <w:r>
        <w:t>可外接负载10-110Vdc，单点额定电流为0.2A</w:t>
      </w:r>
      <w:r>
        <w:rPr>
          <w:rFonts w:hint="eastAsia"/>
        </w:rPr>
        <w:t>。</w:t>
      </w:r>
    </w:p>
    <w:p>
      <w:pPr>
        <w:pStyle w:val="153"/>
        <w:numPr>
          <w:ilvl w:val="0"/>
          <w:numId w:val="12"/>
        </w:numPr>
        <w:ind w:firstLineChars="0"/>
      </w:pPr>
      <w:r>
        <w:t>最小负载电流：10mA</w:t>
      </w:r>
      <w:r>
        <w:rPr>
          <w:rFonts w:hint="eastAsia"/>
        </w:rPr>
        <w:t>。</w:t>
      </w:r>
    </w:p>
    <w:p>
      <w:pPr>
        <w:pStyle w:val="153"/>
        <w:numPr>
          <w:ilvl w:val="0"/>
          <w:numId w:val="12"/>
        </w:numPr>
        <w:ind w:firstLineChars="0"/>
        <w:rPr>
          <w:rFonts w:hint="eastAsia"/>
        </w:rPr>
      </w:pPr>
      <w:r>
        <w:t>继电器的吸合与断开的时间小于1ms</w:t>
      </w:r>
      <w:r>
        <w:rPr>
          <w:rFonts w:hint="eastAsia"/>
        </w:rPr>
        <w:t>。</w:t>
      </w:r>
    </w:p>
    <w:p>
      <w:pPr>
        <w:ind w:firstLineChars="0"/>
        <w:rPr>
          <w:rFonts w:hint="eastAsia"/>
        </w:rPr>
      </w:pPr>
    </w:p>
    <w:p>
      <w:pPr>
        <w:ind w:firstLineChars="0"/>
      </w:pPr>
    </w:p>
    <w:p>
      <w:pPr>
        <w:pStyle w:val="3"/>
        <w:tabs>
          <w:tab w:val="left" w:pos="0"/>
          <w:tab w:val="clear" w:pos="567"/>
        </w:tabs>
        <w:spacing w:before="120"/>
      </w:pPr>
      <w:r>
        <w:t>模拟量输入规格</w:t>
      </w:r>
    </w:p>
    <w:tbl>
      <w:tblPr>
        <w:tblStyle w:val="60"/>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
        <w:gridCol w:w="1548"/>
        <w:gridCol w:w="3710"/>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0" w:type="dxa"/>
            <w:gridSpan w:val="3"/>
            <w:shd w:val="clear" w:color="auto" w:fill="C0C0C0"/>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6237" w:type="dxa"/>
            <w:gridSpan w:val="2"/>
            <w:shd w:val="clear" w:color="auto" w:fill="C0C0C0"/>
            <w:vAlign w:val="center"/>
          </w:tcPr>
          <w:p>
            <w:pPr>
              <w:pStyle w:val="156"/>
              <w:keepNext w:val="0"/>
              <w:keepLines w:val="0"/>
              <w:widowControl/>
              <w:suppressLineNumbers w:val="0"/>
              <w:spacing w:beforeAutospacing="0" w:after="0" w:afterAutospacing="0"/>
              <w:ind w:left="0" w:right="0"/>
              <w:rPr>
                <w:rFonts w:hint="default"/>
              </w:rPr>
            </w:pPr>
            <w:r>
              <w:rPr>
                <w:rFonts w:hint="default"/>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atLeast"/>
          <w:jc w:val="center"/>
        </w:trPr>
        <w:tc>
          <w:tcPr>
            <w:tcW w:w="862" w:type="dxa"/>
            <w:gridSpan w:val="2"/>
            <w:vMerge w:val="restart"/>
            <w:vAlign w:val="center"/>
          </w:tcPr>
          <w:p>
            <w:pPr>
              <w:pStyle w:val="156"/>
              <w:keepNext w:val="0"/>
              <w:keepLines w:val="0"/>
              <w:widowControl/>
              <w:suppressLineNumbers w:val="0"/>
              <w:spacing w:beforeAutospacing="0" w:after="0" w:afterAutospacing="0"/>
              <w:ind w:left="0" w:right="0"/>
              <w:rPr>
                <w:rFonts w:hint="default"/>
              </w:rPr>
            </w:pPr>
            <w:r>
              <w:rPr>
                <w:rFonts w:hint="default"/>
              </w:rPr>
              <w:t>模拟输入范围</w:t>
            </w: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电压输入</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0～10V DC（输入阻抗为1MΩ）</w:t>
            </w:r>
          </w:p>
        </w:tc>
        <w:tc>
          <w:tcPr>
            <w:tcW w:w="2527" w:type="dxa"/>
            <w:vMerge w:val="restart"/>
          </w:tcPr>
          <w:p>
            <w:pPr>
              <w:pStyle w:val="156"/>
              <w:keepNext w:val="0"/>
              <w:keepLines w:val="0"/>
              <w:widowControl/>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862" w:type="dxa"/>
            <w:gridSpan w:val="2"/>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电流输入</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 xml:space="preserve">4～20mA (输入阻抗为250Ω) </w:t>
            </w:r>
          </w:p>
        </w:tc>
        <w:tc>
          <w:tcPr>
            <w:tcW w:w="2527" w:type="dxa"/>
            <w:vMerge w:val="continue"/>
          </w:tcPr>
          <w:p>
            <w:pPr>
              <w:pStyle w:val="156"/>
              <w:keepNext w:val="0"/>
              <w:keepLines w:val="0"/>
              <w:widowControl/>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862" w:type="dxa"/>
            <w:gridSpan w:val="2"/>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NTC</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-50～+100</w:t>
            </w:r>
            <w:r>
              <w:rPr>
                <w:rFonts w:hint="eastAsia"/>
              </w:rPr>
              <w:t>℃</w:t>
            </w:r>
          </w:p>
        </w:tc>
        <w:tc>
          <w:tcPr>
            <w:tcW w:w="2527" w:type="dxa"/>
          </w:tcPr>
          <w:p>
            <w:pPr>
              <w:pStyle w:val="156"/>
              <w:keepNext w:val="0"/>
              <w:keepLines w:val="0"/>
              <w:widowControl/>
              <w:suppressLineNumbers w:val="0"/>
              <w:spacing w:beforeAutospacing="0" w:after="0" w:afterAutospacing="0"/>
              <w:ind w:left="0" w:right="0"/>
              <w:rPr>
                <w:rFonts w:hint="default"/>
              </w:rPr>
            </w:pPr>
            <w:r>
              <w:rPr>
                <w:rFonts w:hint="eastAsia"/>
              </w:rPr>
              <w:t>中心阻值10KΩ或2KΩ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0" w:type="dxa"/>
            <w:gridSpan w:val="3"/>
            <w:vAlign w:val="center"/>
          </w:tcPr>
          <w:p>
            <w:pPr>
              <w:pStyle w:val="156"/>
              <w:keepNext w:val="0"/>
              <w:keepLines w:val="0"/>
              <w:widowControl/>
              <w:suppressLineNumbers w:val="0"/>
              <w:spacing w:beforeAutospacing="0" w:after="0" w:afterAutospacing="0"/>
              <w:ind w:left="0" w:right="0"/>
              <w:rPr>
                <w:rFonts w:hint="default"/>
              </w:rPr>
            </w:pPr>
            <w:r>
              <w:rPr>
                <w:rFonts w:hint="default"/>
              </w:rPr>
              <w:t>转换速度</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15ms/通道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851" w:type="dxa"/>
            <w:vMerge w:val="restart"/>
            <w:vAlign w:val="center"/>
          </w:tcPr>
          <w:p>
            <w:pPr>
              <w:pStyle w:val="156"/>
              <w:keepNext w:val="0"/>
              <w:keepLines w:val="0"/>
              <w:widowControl/>
              <w:suppressLineNumbers w:val="0"/>
              <w:spacing w:beforeAutospacing="0" w:after="0" w:afterAutospacing="0"/>
              <w:ind w:left="0" w:right="0"/>
              <w:rPr>
                <w:rFonts w:hint="default"/>
              </w:rPr>
            </w:pPr>
            <w:r>
              <w:rPr>
                <w:rFonts w:hint="default"/>
              </w:rPr>
              <w:t>分辨率</w:t>
            </w:r>
          </w:p>
        </w:tc>
        <w:tc>
          <w:tcPr>
            <w:tcW w:w="1559"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电压输入</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5mV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851" w:type="dxa"/>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59"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电流输入</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10uA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jc w:val="center"/>
        </w:trPr>
        <w:tc>
          <w:tcPr>
            <w:tcW w:w="2410" w:type="dxa"/>
            <w:gridSpan w:val="3"/>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精度</w:t>
            </w:r>
          </w:p>
        </w:tc>
        <w:tc>
          <w:tcPr>
            <w:tcW w:w="6237" w:type="dxa"/>
            <w:gridSpan w:val="2"/>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2410" w:type="dxa"/>
            <w:gridSpan w:val="3"/>
            <w:vAlign w:val="center"/>
          </w:tcPr>
          <w:p>
            <w:pPr>
              <w:pStyle w:val="156"/>
              <w:keepNext w:val="0"/>
              <w:keepLines w:val="0"/>
              <w:widowControl/>
              <w:suppressLineNumbers w:val="0"/>
              <w:spacing w:beforeAutospacing="0" w:after="0" w:afterAutospacing="0"/>
              <w:ind w:left="0" w:right="0"/>
              <w:rPr>
                <w:rFonts w:hint="default"/>
              </w:rPr>
            </w:pPr>
            <w:r>
              <w:rPr>
                <w:rFonts w:hint="default"/>
              </w:rPr>
              <w:t>隔离</w:t>
            </w:r>
          </w:p>
        </w:tc>
        <w:tc>
          <w:tcPr>
            <w:tcW w:w="6237" w:type="dxa"/>
            <w:gridSpan w:val="2"/>
          </w:tcPr>
          <w:p>
            <w:pPr>
              <w:pStyle w:val="156"/>
              <w:keepNext w:val="0"/>
              <w:keepLines w:val="0"/>
              <w:widowControl/>
              <w:suppressLineNumbers w:val="0"/>
              <w:spacing w:beforeAutospacing="0" w:after="0" w:afterAutospacing="0"/>
              <w:ind w:left="0" w:right="0"/>
              <w:rPr>
                <w:rFonts w:hint="default"/>
              </w:rPr>
            </w:pPr>
            <w:r>
              <w:rPr>
                <w:rFonts w:hint="default"/>
              </w:rPr>
              <w:t>模拟电路和数字电路之间用光电耦合器进行隔离。模拟电路和外部电源用DC/DC进行隔离。模拟通道之间不隔离。</w:t>
            </w:r>
          </w:p>
        </w:tc>
      </w:tr>
    </w:tbl>
    <w:p>
      <w:pPr>
        <w:pStyle w:val="3"/>
        <w:tabs>
          <w:tab w:val="left" w:pos="0"/>
          <w:tab w:val="clear" w:pos="567"/>
        </w:tabs>
        <w:spacing w:before="120"/>
      </w:pPr>
      <w:r>
        <w:rPr>
          <w:rFonts w:hint="eastAsia"/>
        </w:rPr>
        <w:t>存储器</w:t>
      </w:r>
    </w:p>
    <w:tbl>
      <w:tblPr>
        <w:tblStyle w:val="60"/>
        <w:tblW w:w="8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2694"/>
        <w:gridCol w:w="1701"/>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2694"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接口方式</w:t>
            </w:r>
          </w:p>
        </w:tc>
        <w:tc>
          <w:tcPr>
            <w:tcW w:w="1701"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容量byte</w:t>
            </w:r>
          </w:p>
        </w:tc>
        <w:tc>
          <w:tcPr>
            <w:tcW w:w="2931"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RAM</w:t>
            </w:r>
          </w:p>
        </w:tc>
        <w:tc>
          <w:tcPr>
            <w:tcW w:w="2694"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MCU片内</w:t>
            </w:r>
          </w:p>
        </w:tc>
        <w:tc>
          <w:tcPr>
            <w:tcW w:w="1701"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192K</w:t>
            </w:r>
          </w:p>
        </w:tc>
        <w:tc>
          <w:tcPr>
            <w:tcW w:w="2931"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工作缓存，包括变量、元件、栈等</w:t>
            </w:r>
          </w:p>
        </w:tc>
      </w:tr>
    </w:tbl>
    <w:p>
      <w:pPr>
        <w:pStyle w:val="3"/>
        <w:tabs>
          <w:tab w:val="left" w:pos="0"/>
          <w:tab w:val="clear" w:pos="567"/>
        </w:tabs>
        <w:spacing w:before="120"/>
      </w:pPr>
      <w:r>
        <w:rPr>
          <w:rFonts w:hint="eastAsia"/>
        </w:rPr>
        <w:t>隔离</w:t>
      </w:r>
      <w:r>
        <w:t>SWD接口</w:t>
      </w:r>
    </w:p>
    <w:p>
      <w:pPr>
        <w:ind w:firstLine="480"/>
      </w:pPr>
      <w:r>
        <w:rPr>
          <w:rFonts w:hint="eastAsia"/>
        </w:rPr>
        <w:t>将控制器</w:t>
      </w:r>
      <w:r>
        <w:t>的SWD调试</w:t>
      </w:r>
      <w:r>
        <w:rPr>
          <w:rFonts w:hint="eastAsia"/>
        </w:rPr>
        <w:t>口</w:t>
      </w:r>
      <w:r>
        <w:t>增加隔离电路后引出，对外接口为普通</w:t>
      </w:r>
      <w:r>
        <w:rPr>
          <w:rFonts w:hint="eastAsia"/>
        </w:rPr>
        <w:t>4针</w:t>
      </w:r>
      <w:r>
        <w:t>的</w:t>
      </w:r>
      <w:r>
        <w:rPr>
          <w:rFonts w:hint="eastAsia"/>
        </w:rPr>
        <w:t>魏德米勒端子座</w:t>
      </w:r>
      <w:r>
        <w:t>接口</w:t>
      </w:r>
      <w:r>
        <w:rPr>
          <w:rFonts w:hint="eastAsia"/>
        </w:rPr>
        <w:t>。</w:t>
      </w:r>
    </w:p>
    <w:p>
      <w:pPr>
        <w:pStyle w:val="3"/>
        <w:tabs>
          <w:tab w:val="left" w:pos="0"/>
          <w:tab w:val="clear" w:pos="567"/>
        </w:tabs>
        <w:spacing w:before="120"/>
      </w:pPr>
      <w:r>
        <w:t>RS485</w:t>
      </w:r>
    </w:p>
    <w:p>
      <w:pPr>
        <w:pStyle w:val="153"/>
        <w:numPr>
          <w:ilvl w:val="0"/>
          <w:numId w:val="14"/>
        </w:numPr>
        <w:ind w:firstLineChars="0"/>
      </w:pPr>
      <w:r>
        <w:t>RS485符合国际行业规定，具备A+、B+及GND基本通信功能。</w:t>
      </w:r>
    </w:p>
    <w:p>
      <w:pPr>
        <w:pStyle w:val="153"/>
        <w:numPr>
          <w:ilvl w:val="0"/>
          <w:numId w:val="14"/>
        </w:numPr>
        <w:ind w:firstLineChars="0"/>
      </w:pPr>
      <w:r>
        <w:t>隔离电压500V/AC</w:t>
      </w:r>
      <w:r>
        <w:rPr>
          <w:rFonts w:hint="eastAsia"/>
        </w:rPr>
        <w:t>。</w:t>
      </w:r>
    </w:p>
    <w:p>
      <w:pPr>
        <w:pStyle w:val="153"/>
        <w:numPr>
          <w:ilvl w:val="0"/>
          <w:numId w:val="14"/>
        </w:numPr>
        <w:ind w:firstLineChars="0"/>
      </w:pPr>
      <w:r>
        <w:t>通信波特率</w:t>
      </w:r>
      <w:r>
        <w:rPr>
          <w:rFonts w:hint="eastAsia"/>
        </w:rPr>
        <w:t>：最大能支持</w:t>
      </w:r>
      <w:r>
        <w:t>115200bps</w:t>
      </w:r>
      <w:r>
        <w:rPr>
          <w:rFonts w:hint="eastAsia"/>
        </w:rPr>
        <w:t>。</w:t>
      </w:r>
    </w:p>
    <w:p>
      <w:pPr>
        <w:pStyle w:val="3"/>
        <w:tabs>
          <w:tab w:val="left" w:pos="0"/>
          <w:tab w:val="clear" w:pos="567"/>
        </w:tabs>
        <w:spacing w:before="120"/>
      </w:pPr>
      <w:r>
        <w:rPr>
          <w:rFonts w:hint="eastAsia"/>
        </w:rPr>
        <w:t>电子膨胀阀接口</w:t>
      </w:r>
    </w:p>
    <w:p>
      <w:pPr>
        <w:ind w:firstLine="480"/>
        <w:rPr>
          <w:rFonts w:hint="eastAsia"/>
        </w:rPr>
      </w:pPr>
      <w:r>
        <w:rPr>
          <w:rFonts w:hint="eastAsia"/>
        </w:rPr>
        <w:t>提供接口实现对电子膨胀阀开关的控制，可以实现指定角度的开关及状态监测。</w:t>
      </w:r>
    </w:p>
    <w:p>
      <w:pPr>
        <w:ind w:firstLine="480"/>
        <w:rPr>
          <w:color w:val="FF0000"/>
        </w:rPr>
      </w:pPr>
      <w:r>
        <w:rPr>
          <w:color w:val="FF0000"/>
        </w:rPr>
        <w:t>控制器配置</w:t>
      </w:r>
      <w:r>
        <w:rPr>
          <w:rFonts w:hint="eastAsia"/>
          <w:color w:val="FF0000"/>
        </w:rPr>
        <w:t>2路EEV</w:t>
      </w:r>
      <w:r>
        <w:rPr>
          <w:color w:val="FF0000"/>
        </w:rPr>
        <w:t>驱动</w:t>
      </w:r>
      <w:r>
        <w:rPr>
          <w:rFonts w:hint="eastAsia"/>
          <w:color w:val="FF0000"/>
        </w:rPr>
        <w:t>4路对外</w:t>
      </w:r>
      <w:r>
        <w:rPr>
          <w:color w:val="FF0000"/>
        </w:rPr>
        <w:t>接口</w:t>
      </w:r>
      <w:r>
        <w:rPr>
          <w:rFonts w:hint="eastAsia"/>
          <w:color w:val="FF0000"/>
        </w:rPr>
        <w:t>输出，</w:t>
      </w:r>
      <w:r>
        <w:rPr>
          <w:color w:val="FF0000"/>
        </w:rPr>
        <w:t>每路</w:t>
      </w:r>
      <w:r>
        <w:rPr>
          <w:rFonts w:hint="eastAsia"/>
          <w:color w:val="FF0000"/>
        </w:rPr>
        <w:t>5个端口，其中一个为公共引线端口，为电子膨胀阀提供1</w:t>
      </w:r>
      <w:r>
        <w:rPr>
          <w:color w:val="FF0000"/>
        </w:rPr>
        <w:t>2V</w:t>
      </w:r>
      <w:r>
        <w:rPr>
          <w:rFonts w:hint="eastAsia"/>
          <w:color w:val="FF0000"/>
        </w:rPr>
        <w:t>的</w:t>
      </w:r>
      <w:r>
        <w:rPr>
          <w:color w:val="FF0000"/>
        </w:rPr>
        <w:t>驱动电压</w:t>
      </w:r>
      <w:r>
        <w:rPr>
          <w:rFonts w:hint="eastAsia"/>
          <w:color w:val="FF0000"/>
        </w:rPr>
        <w:t>。每路EEV接口驱动1个电子膨胀阀负载，每2路EEV接口同步驱动，EEV接口具体要求如下：</w:t>
      </w:r>
    </w:p>
    <w:p>
      <w:pPr>
        <w:pStyle w:val="193"/>
        <w:numPr>
          <w:ilvl w:val="0"/>
          <w:numId w:val="13"/>
        </w:numPr>
        <w:ind w:firstLineChars="0"/>
        <w:rPr>
          <w:color w:val="FF0000"/>
        </w:rPr>
      </w:pPr>
      <w:r>
        <w:rPr>
          <w:rFonts w:hint="eastAsia"/>
          <w:color w:val="FF0000"/>
        </w:rPr>
        <w:t>驱动电压：DC</w:t>
      </w:r>
      <w:r>
        <w:rPr>
          <w:color w:val="FF0000"/>
        </w:rPr>
        <w:t>12V±10</w:t>
      </w:r>
      <w:r>
        <w:rPr>
          <w:rFonts w:hint="eastAsia"/>
          <w:color w:val="FF0000"/>
        </w:rPr>
        <w:t>%</w:t>
      </w:r>
    </w:p>
    <w:p>
      <w:pPr>
        <w:pStyle w:val="193"/>
        <w:numPr>
          <w:ilvl w:val="0"/>
          <w:numId w:val="13"/>
        </w:numPr>
        <w:ind w:firstLineChars="0"/>
        <w:rPr>
          <w:color w:val="FF0000"/>
        </w:rPr>
      </w:pPr>
      <w:r>
        <w:rPr>
          <w:color w:val="FF0000"/>
        </w:rPr>
        <w:t>驱动电流</w:t>
      </w:r>
      <w:r>
        <w:rPr>
          <w:rFonts w:hint="eastAsia"/>
          <w:color w:val="FF0000"/>
        </w:rPr>
        <w:t>：单相0</w:t>
      </w:r>
      <w:r>
        <w:rPr>
          <w:color w:val="FF0000"/>
        </w:rPr>
        <w:t>.</w:t>
      </w:r>
      <w:r>
        <w:rPr>
          <w:rFonts w:hint="eastAsia"/>
          <w:color w:val="FF0000"/>
        </w:rPr>
        <w:t>26</w:t>
      </w:r>
      <w:r>
        <w:rPr>
          <w:color w:val="FF0000"/>
        </w:rPr>
        <w:t>A</w:t>
      </w:r>
      <w:r>
        <w:rPr>
          <w:rFonts w:hint="eastAsia"/>
          <w:color w:val="FF0000"/>
        </w:rPr>
        <w:t>，公共端电流0.52</w:t>
      </w:r>
      <w:r>
        <w:rPr>
          <w:color w:val="FF0000"/>
        </w:rPr>
        <w:t>A</w:t>
      </w:r>
    </w:p>
    <w:p>
      <w:pPr>
        <w:pStyle w:val="193"/>
        <w:numPr>
          <w:ilvl w:val="0"/>
          <w:numId w:val="13"/>
        </w:numPr>
        <w:ind w:firstLineChars="0"/>
        <w:rPr>
          <w:color w:val="FF0000"/>
        </w:rPr>
      </w:pPr>
      <w:r>
        <w:rPr>
          <w:color w:val="FF0000"/>
        </w:rPr>
        <w:t>励磁速度</w:t>
      </w:r>
      <w:r>
        <w:rPr>
          <w:rFonts w:hint="eastAsia"/>
          <w:color w:val="FF0000"/>
        </w:rPr>
        <w:t>：3</w:t>
      </w:r>
      <w:r>
        <w:rPr>
          <w:color w:val="FF0000"/>
        </w:rPr>
        <w:t>0</w:t>
      </w:r>
      <w:r>
        <w:rPr>
          <w:rFonts w:hint="eastAsia"/>
          <w:color w:val="FF0000"/>
        </w:rPr>
        <w:t>~9</w:t>
      </w:r>
      <w:r>
        <w:rPr>
          <w:color w:val="FF0000"/>
        </w:rPr>
        <w:t>0pps</w:t>
      </w:r>
    </w:p>
    <w:p>
      <w:pPr>
        <w:pStyle w:val="2"/>
        <w:spacing w:before="240" w:after="120"/>
      </w:pPr>
      <w:r>
        <w:rPr>
          <w:rFonts w:hint="eastAsia"/>
        </w:rPr>
        <w:t>KIO软件参数</w:t>
      </w:r>
    </w:p>
    <w:p>
      <w:pPr>
        <w:ind w:firstLine="480"/>
      </w:pPr>
      <w:r>
        <w:rPr>
          <w:rFonts w:hint="eastAsia"/>
        </w:rPr>
        <w:t>出厂软件版本要求具备IAP升级功能，未经国祥同意，不得随意变更出厂版本。</w:t>
      </w:r>
    </w:p>
    <w:p>
      <w:pPr>
        <w:ind w:firstLine="480"/>
      </w:pPr>
      <w:r>
        <w:rPr>
          <w:rFonts w:hint="eastAsia"/>
        </w:rPr>
        <w:t>KIO的CPU软件由供应商提供，供应商提供默认版本软件固件，项目根据需要将最终使用软件版本标注在项目软件配置图中，并标明版本及相关标识号，项目根据需要选择更新部件程序。</w:t>
      </w:r>
    </w:p>
    <w:p>
      <w:pPr>
        <w:ind w:firstLine="480"/>
        <w:rPr>
          <w:rFonts w:ascii="宋体" w:hAnsi="宋体" w:cs="宋体"/>
        </w:rPr>
      </w:pPr>
      <w:r>
        <w:rPr>
          <w:rFonts w:hint="eastAsia"/>
        </w:rPr>
        <w:t>KIO程序默认传输AD模拟量原始输入以及转换为温度值的数据，如</w:t>
      </w:r>
      <w:r>
        <w:rPr>
          <w:rFonts w:ascii="宋体" w:hAnsi="宋体" w:cs="宋体"/>
        </w:rPr>
        <w:t>采集传感器的</w:t>
      </w:r>
      <w:r>
        <w:rPr>
          <w:rFonts w:hint="eastAsia" w:ascii="宋体" w:hAnsi="宋体" w:cs="宋体"/>
        </w:rPr>
        <w:t>AD量，通过485传输温度值和AD值两种数据。</w:t>
      </w:r>
    </w:p>
    <w:p>
      <w:pPr>
        <w:ind w:firstLine="480"/>
        <w:rPr>
          <w:rFonts w:ascii="宋体" w:hAnsi="宋体" w:cs="宋体"/>
        </w:rPr>
      </w:pPr>
      <w:r>
        <w:rPr>
          <w:rFonts w:hint="eastAsia" w:ascii="宋体" w:hAnsi="宋体" w:cs="宋体"/>
        </w:rPr>
        <w:t>如有项目需要，可根据项目实际需求，在软件配置图中增加升级版本软件名称和操作方法。</w:t>
      </w:r>
    </w:p>
    <w:p>
      <w:pPr>
        <w:ind w:firstLine="480"/>
      </w:pPr>
      <w:r>
        <w:rPr>
          <w:rFonts w:hint="eastAsia"/>
        </w:rPr>
        <w:t>当前出厂默认软件版本为V1008，软件名称：P277_KIO02_01C_V1008.hex，功能描述：通信故障时，D10输出，其他关闭。</w:t>
      </w:r>
    </w:p>
    <w:p>
      <w:pPr>
        <w:ind w:firstLine="480"/>
      </w:pPr>
      <w:r>
        <w:rPr>
          <w:rFonts w:hint="eastAsia"/>
        </w:rPr>
        <w:t>供应商需提供适用于该部件的其他软件文件为：</w:t>
      </w:r>
    </w:p>
    <w:p>
      <w:pPr>
        <w:ind w:firstLine="480"/>
      </w:pPr>
      <w:r>
        <w:rPr>
          <w:rFonts w:hint="eastAsia"/>
        </w:rPr>
        <w:t>软件名称：</w:t>
      </w:r>
      <w:r>
        <w:t>P317_KIO02_01C_V1008.hex</w:t>
      </w:r>
      <w:r>
        <w:rPr>
          <w:rFonts w:hint="eastAsia"/>
        </w:rPr>
        <w:t>，功能描述：通信故障时，关闭所有DO。</w:t>
      </w:r>
    </w:p>
    <w:p>
      <w:pPr>
        <w:ind w:firstLine="480"/>
      </w:pPr>
      <w:r>
        <w:rPr>
          <w:rFonts w:hint="eastAsia"/>
        </w:rPr>
        <w:t>KIO的CPU软件由供应商提供，供应商在更新软件时应提供相关的软件库文件，并标明版本及相关标识号。</w:t>
      </w:r>
    </w:p>
    <w:p>
      <w:pPr>
        <w:pStyle w:val="4"/>
        <w:spacing w:before="24" w:after="24"/>
      </w:pPr>
      <w:r>
        <w:rPr>
          <w:rFonts w:hint="eastAsia"/>
        </w:rPr>
        <w:t>基本要求</w:t>
      </w:r>
    </w:p>
    <w:p>
      <w:pPr>
        <w:numPr>
          <w:ilvl w:val="0"/>
          <w:numId w:val="17"/>
        </w:numPr>
        <w:ind w:firstLineChars="0"/>
      </w:pPr>
      <w:r>
        <w:rPr>
          <w:rFonts w:hint="eastAsia"/>
        </w:rPr>
        <w:t>供方发布的程序文件命名规则：项目图号-部件型号-软件版本，其中项目图号由国祥提供，软件版本默认从1.00开始，同一型号部件不允许出现版本一样但功能不一样的软件；</w:t>
      </w:r>
    </w:p>
    <w:p>
      <w:pPr>
        <w:numPr>
          <w:ilvl w:val="0"/>
          <w:numId w:val="17"/>
        </w:numPr>
        <w:ind w:firstLineChars="0"/>
      </w:pPr>
      <w:r>
        <w:rPr>
          <w:rFonts w:hint="eastAsia"/>
        </w:rPr>
        <w:t>供方部件出厂时，至少支持IAP方式更新软件，</w:t>
      </w:r>
      <w:r>
        <w:rPr>
          <w:rFonts w:hint="eastAsia"/>
          <w:color w:val="0000FF"/>
        </w:rPr>
        <w:t>以备后续软件升级使用</w:t>
      </w:r>
      <w:r>
        <w:rPr>
          <w:rFonts w:hint="eastAsia"/>
        </w:rPr>
        <w:t>；</w:t>
      </w:r>
    </w:p>
    <w:p>
      <w:pPr>
        <w:numPr>
          <w:ilvl w:val="0"/>
          <w:numId w:val="17"/>
        </w:numPr>
        <w:ind w:firstLineChars="0"/>
      </w:pPr>
      <w:r>
        <w:rPr>
          <w:rFonts w:hint="eastAsia"/>
        </w:rPr>
        <w:t>软件版本可以通过空调控制器的通信接口读取，</w:t>
      </w:r>
      <w:r>
        <w:rPr>
          <w:rFonts w:hint="eastAsia"/>
          <w:color w:val="0000FF"/>
        </w:rPr>
        <w:t>或通过空调控制器上位机软件读取</w:t>
      </w:r>
      <w:r>
        <w:rPr>
          <w:rFonts w:hint="eastAsia"/>
        </w:rPr>
        <w:t>；</w:t>
      </w:r>
    </w:p>
    <w:p>
      <w:pPr>
        <w:numPr>
          <w:ilvl w:val="0"/>
          <w:numId w:val="17"/>
        </w:numPr>
        <w:ind w:firstLineChars="0"/>
      </w:pPr>
      <w:r>
        <w:rPr>
          <w:rFonts w:hint="eastAsia"/>
        </w:rPr>
        <w:t>每次升级软件，软件版本要相应的升级。特殊情况下（国祥特殊要求时），可商讨确定通过其他方式标识区别；</w:t>
      </w:r>
    </w:p>
    <w:p>
      <w:pPr>
        <w:numPr>
          <w:ilvl w:val="0"/>
          <w:numId w:val="17"/>
        </w:numPr>
        <w:ind w:firstLineChars="0"/>
      </w:pPr>
      <w:r>
        <w:rPr>
          <w:rFonts w:hint="eastAsia"/>
        </w:rPr>
        <w:t>软件通过IAP方式（供方提供的维护软件或由国祥制定的统一方式）更新。更新时，部件软件需要对接收到的程序文件进行完整性、正确性校验，不允许出现更新失败后部件功能丧失的情况。</w:t>
      </w:r>
    </w:p>
    <w:p>
      <w:pPr>
        <w:numPr>
          <w:ilvl w:val="0"/>
          <w:numId w:val="17"/>
        </w:numPr>
        <w:ind w:firstLineChars="0"/>
      </w:pPr>
      <w:r>
        <w:rPr>
          <w:rFonts w:hint="eastAsia"/>
        </w:rPr>
        <w:t>软件更新不应限制版本号、项目号，只要部件型号一致的软件均允许更新，型号不一样的软件禁止更新；</w:t>
      </w:r>
    </w:p>
    <w:p>
      <w:pPr>
        <w:numPr>
          <w:ilvl w:val="0"/>
          <w:numId w:val="17"/>
        </w:numPr>
        <w:ind w:firstLineChars="0"/>
      </w:pPr>
      <w:r>
        <w:rPr>
          <w:rFonts w:hint="eastAsia"/>
        </w:rPr>
        <w:t>软件每次发布时，需提供正式的软件功能说明书、通信协议、软件测试报告（需详细列述测试项点）、软件发布说明（包含变更项点）、软件更新操作说明（以上所有文件仅首次或文档更新时提供）。</w:t>
      </w:r>
    </w:p>
    <w:p>
      <w:pPr>
        <w:pStyle w:val="4"/>
        <w:spacing w:before="24" w:after="24"/>
      </w:pPr>
      <w:r>
        <w:rPr>
          <w:rFonts w:hint="eastAsia"/>
        </w:rPr>
        <w:t>管理办法</w:t>
      </w:r>
    </w:p>
    <w:p>
      <w:pPr>
        <w:ind w:firstLine="480"/>
      </w:pPr>
      <w:r>
        <w:rPr>
          <w:rFonts w:hint="eastAsia"/>
        </w:rPr>
        <w:t>部件首次使用时，供方与国祥工程师联调至基本功能正常，满足项目要求后，部件初版软件定版为1.00版并首次发布，以后所有变更按V11变更评审表流程执行。</w:t>
      </w:r>
    </w:p>
    <w:p>
      <w:pPr>
        <w:numPr>
          <w:ilvl w:val="0"/>
          <w:numId w:val="18"/>
        </w:numPr>
        <w:ind w:firstLineChars="0"/>
        <w:rPr>
          <w:szCs w:val="22"/>
        </w:rPr>
      </w:pPr>
      <w:r>
        <w:rPr>
          <w:rFonts w:hint="eastAsia"/>
        </w:rPr>
        <w:t>因国祥或客户提出的变更，通过技术条件升级体现需求，并提供给供应商。供应商依据此作为变更输入。软件项目组发技术通知单(明确变更原因)，现场验证并更新。</w:t>
      </w:r>
    </w:p>
    <w:p>
      <w:pPr>
        <w:numPr>
          <w:ilvl w:val="0"/>
          <w:numId w:val="18"/>
        </w:numPr>
        <w:ind w:firstLineChars="0"/>
        <w:rPr>
          <w:rFonts w:ascii="宋体" w:hAnsi="宋体" w:cs="宋体"/>
        </w:rPr>
      </w:pPr>
      <w:r>
        <w:rPr>
          <w:rFonts w:hint="eastAsia"/>
        </w:rPr>
        <w:t>因</w:t>
      </w:r>
      <w:r>
        <w:rPr>
          <w:rFonts w:hint="eastAsia"/>
          <w:szCs w:val="22"/>
        </w:rPr>
        <w:t>供方技术升级、软件缺陷提出的变更，需事先邮件与国祥技术确认，之后发起变更。</w:t>
      </w:r>
    </w:p>
    <w:p>
      <w:pPr>
        <w:pStyle w:val="3"/>
        <w:tabs>
          <w:tab w:val="left" w:pos="0"/>
          <w:tab w:val="clear" w:pos="567"/>
        </w:tabs>
        <w:spacing w:before="120"/>
      </w:pPr>
      <w:r>
        <w:rPr>
          <w:rFonts w:hint="eastAsia"/>
        </w:rPr>
        <w:t>特殊控制逻辑</w:t>
      </w:r>
    </w:p>
    <w:p>
      <w:pPr>
        <w:numPr>
          <w:ilvl w:val="0"/>
          <w:numId w:val="19"/>
        </w:numPr>
        <w:ind w:firstLineChars="0"/>
        <w:rPr>
          <w:rFonts w:ascii="宋体" w:hAnsi="宋体" w:cs="宋体"/>
        </w:rPr>
      </w:pPr>
      <w:r>
        <w:rPr>
          <w:rFonts w:hint="eastAsia" w:ascii="宋体" w:hAnsi="宋体" w:cs="宋体"/>
        </w:rPr>
        <w:t>电子膨胀阀：空调系统每次启机，首先对电子膨胀阀进行复位操作，先施加480个脉冲开阀驱动，再施加560个脉冲关阀驱动。</w:t>
      </w:r>
    </w:p>
    <w:p>
      <w:pPr>
        <w:numPr>
          <w:ilvl w:val="0"/>
          <w:numId w:val="19"/>
        </w:numPr>
        <w:ind w:firstLineChars="0"/>
        <w:rPr>
          <w:rFonts w:ascii="宋体" w:hAnsi="宋体" w:cs="宋体"/>
        </w:rPr>
      </w:pPr>
      <w:r>
        <w:rPr>
          <w:rFonts w:hint="eastAsia" w:ascii="宋体" w:hAnsi="宋体" w:cs="宋体"/>
        </w:rPr>
        <w:t>通信故障：从首次上电开始持续1分钟没有收到主站的请求认为通信故障，后续持续10s没有收到主站的请求认为通信故障。</w:t>
      </w:r>
    </w:p>
    <w:p>
      <w:pPr>
        <w:numPr>
          <w:ilvl w:val="0"/>
          <w:numId w:val="19"/>
        </w:numPr>
        <w:ind w:firstLineChars="0"/>
        <w:rPr>
          <w:rFonts w:ascii="宋体" w:hAnsi="宋体" w:cs="宋体"/>
        </w:rPr>
      </w:pPr>
      <w:r>
        <w:rPr>
          <w:rFonts w:hint="eastAsia" w:ascii="宋体" w:hAnsi="宋体" w:cs="宋体"/>
        </w:rPr>
        <w:t>通信故障之后DO10(XS1-34)点位默认为输出状态，此为增加KIO通信故障时保持机组通风功能，其他所有DO点输出保持断开状态，通信恢复之后按照正常逻辑执行。</w:t>
      </w:r>
    </w:p>
    <w:p>
      <w:pPr>
        <w:pStyle w:val="3"/>
        <w:tabs>
          <w:tab w:val="left" w:pos="0"/>
          <w:tab w:val="clear" w:pos="567"/>
        </w:tabs>
        <w:spacing w:before="120"/>
      </w:pPr>
      <w:r>
        <w:rPr>
          <w:rFonts w:hint="eastAsia"/>
        </w:rPr>
        <w:t>模拟量采集</w:t>
      </w:r>
    </w:p>
    <w:p>
      <w:pPr>
        <w:ind w:firstLine="480"/>
      </w:pPr>
      <w:r>
        <w:rPr>
          <w:rFonts w:hint="eastAsia"/>
        </w:rPr>
        <w:t>电压、电流通道目前满足要求，不需要修改。NTC通道，由目前传温度值改为电阻值。修改协议，数据由原来16位改为32位。NTC电阻值为实际电阻值扩大10倍。</w:t>
      </w:r>
    </w:p>
    <w:p>
      <w:pPr>
        <w:ind w:firstLine="480"/>
      </w:pPr>
      <w:r>
        <w:rPr>
          <w:rFonts w:hint="eastAsia"/>
        </w:rPr>
        <w:t>1、模拟量采集：由于我司使用了多种不同型号的模拟量（电压、电流、电阻）传感器，每种型号的量程对应关系均不同，为了便于KIO软件的统一管理，需要将模拟量采集的数值改为电压、电流、电阻值，而不是温度、压力值。</w:t>
      </w:r>
    </w:p>
    <w:p>
      <w:pPr>
        <w:ind w:firstLine="480"/>
      </w:pPr>
      <w:r>
        <w:rPr>
          <w:rFonts w:hint="eastAsia"/>
        </w:rPr>
        <w:t>2、风阀控制：对于数字量输出控制的风阀，控制精度需要做的1S以内，但由于同一个485总线上挂接的设备太多，导致轮询一遍的周期太长，无法满足控制精度的要求。故需要将风阀的控制逻辑做到KIO内部，KPC仅配置风阀参数（风阀全开、全关时间）和需要的目标角度（0°-90°），由KIO控制风阀动作。</w:t>
      </w:r>
    </w:p>
    <w:p>
      <w:pPr>
        <w:ind w:firstLine="480"/>
      </w:pPr>
      <w:r>
        <w:rPr>
          <w:rFonts w:hint="eastAsia"/>
        </w:rPr>
        <w:t>风阀动作逻辑：</w:t>
      </w:r>
    </w:p>
    <w:p>
      <w:pPr>
        <w:ind w:firstLine="480"/>
      </w:pPr>
      <w:r>
        <w:rPr>
          <w:rFonts w:hint="eastAsia"/>
        </w:rPr>
        <w:t>信号定义：风阀开信号out_On、风阀关信号out_Off、风阀全开时间Ton、全关时间Toff、目标开度Target、当前开度Current、风阀状态State（1打开、2关闭、3停止），风阀角度匀速变化，与动作时间成线性关系。</w:t>
      </w:r>
    </w:p>
    <w:p>
      <w:pPr>
        <w:ind w:firstLine="480"/>
      </w:pPr>
      <w:r>
        <w:rPr>
          <w:rFonts w:hint="eastAsia"/>
        </w:rPr>
        <w:t>每次动作，当Target为0时，将out_Off点位置高 Toff+5 S（+5是为了保证风阀关闭到位）后复位。</w:t>
      </w:r>
    </w:p>
    <w:p>
      <w:pPr>
        <w:ind w:firstLine="480"/>
      </w:pPr>
      <w:r>
        <w:rPr>
          <w:rFonts w:hint="eastAsia"/>
        </w:rPr>
        <w:t>当Target不为0时，先将out_On点位置高Ton+5 S后复位，再将out_Off点位置高n S（n根据Target计算得到）后复位。</w:t>
      </w:r>
    </w:p>
    <w:p>
      <w:pPr>
        <w:ind w:firstLine="480"/>
      </w:pPr>
      <w:r>
        <w:rPr>
          <w:rFonts w:hint="eastAsia"/>
        </w:rPr>
        <w:t>动作过程中实时计算更新Current。State反映角度的变化。</w:t>
      </w:r>
    </w:p>
    <w:p>
      <w:pPr>
        <w:ind w:firstLine="480"/>
      </w:pPr>
      <w:r>
        <w:rPr>
          <w:rFonts w:hint="eastAsia"/>
        </w:rPr>
        <w:t>例如：Ton=Toff=35S，当Target为60°，Current为45°时，先将out_On点位置高40S后复位，再将out_Off点位置高（90-60）*35/90 = 11.666S（精度越高越好，至少0.1S）后复位。</w:t>
      </w:r>
    </w:p>
    <w:p>
      <w:pPr>
        <w:ind w:firstLine="480"/>
      </w:pPr>
      <w:r>
        <w:rPr>
          <w:rFonts w:hint="eastAsia"/>
        </w:rPr>
        <w:t>State由3变为1，Current由45渐变到90，State变为3，保持 45*35/90 + 5 =22.5S 后，State变为2，Current由90渐变到60。</w:t>
      </w:r>
    </w:p>
    <w:p>
      <w:pPr>
        <w:ind w:firstLine="480"/>
      </w:pPr>
      <w:r>
        <w:rPr>
          <w:rFonts w:hint="eastAsia"/>
        </w:rPr>
        <w:t>意，由于模式切换时间不固定，可能会小于风阀一次动作的时间，所以会出现，一次动作未完成Target再次改变的情况，此种情况按新Target重新执行。</w:t>
      </w:r>
    </w:p>
    <w:p>
      <w:pPr>
        <w:ind w:firstLine="480"/>
      </w:pPr>
      <w:r>
        <w:rPr>
          <w:rFonts w:hint="eastAsia"/>
        </w:rPr>
        <w:t>协议要求：KPC上电后设置一次out_On,out_Off,Ton,Toff。</w:t>
      </w:r>
    </w:p>
    <w:p>
      <w:pPr>
        <w:ind w:firstLine="480"/>
      </w:pPr>
      <w:r>
        <w:rPr>
          <w:rFonts w:hint="eastAsia"/>
        </w:rPr>
        <w:t>之后运行过程中设置Target、读取Current。</w:t>
      </w:r>
    </w:p>
    <w:p>
      <w:pPr>
        <w:ind w:firstLine="480"/>
      </w:pPr>
      <w:r>
        <w:rPr>
          <w:rFonts w:hint="eastAsia"/>
        </w:rPr>
        <w:t>未设置out_On,out_Off, Ton,Toff前，逻辑不执行。至少控制2个风阀。</w:t>
      </w:r>
    </w:p>
    <w:p>
      <w:pPr>
        <w:ind w:firstLine="480"/>
      </w:pPr>
      <w:r>
        <w:rPr>
          <w:rFonts w:hint="eastAsia"/>
        </w:rPr>
        <w:t>3、部件保护逻辑：对于KIO控制接触器的项目，如果KPC读到保护信号（高压、低压、排气保护、过流）再断开接触器，会导致部件损坏。所以需要KIO检测到保护信号消失后直接断开接触器。</w:t>
      </w:r>
    </w:p>
    <w:p>
      <w:pPr>
        <w:ind w:firstLine="480"/>
      </w:pPr>
      <w:r>
        <w:rPr>
          <w:rFonts w:hint="eastAsia"/>
        </w:rPr>
        <w:t>逻辑要求：设置一组信号IN_A、IN_B、IN_C、OUT。默认值均为0xFF，需要保护时，KPC设置至少一个输入和输出信号位。</w:t>
      </w:r>
    </w:p>
    <w:p>
      <w:pPr>
        <w:ind w:firstLine="480"/>
      </w:pPr>
      <w:r>
        <w:rPr>
          <w:rFonts w:hint="eastAsia"/>
        </w:rPr>
        <w:t>当KIO检测到任意一个IN_x（不为0xFF）消失时，立即断开OUT点。未配置OUT时，逻辑不执行。至少可以配置4组。</w:t>
      </w:r>
    </w:p>
    <w:p>
      <w:pPr>
        <w:ind w:firstLine="480"/>
      </w:pPr>
      <w:r>
        <w:rPr>
          <w:rFonts w:hint="eastAsia"/>
        </w:rPr>
        <w:t>上述所有信号均可读，用于检查配置是否成功。</w:t>
      </w:r>
    </w:p>
    <w:p>
      <w:pPr>
        <w:pStyle w:val="2"/>
        <w:spacing w:before="240" w:after="120"/>
      </w:pPr>
      <w:r>
        <w:t>试验要求</w:t>
      </w:r>
    </w:p>
    <w:p>
      <w:pPr>
        <w:ind w:firstLine="480"/>
      </w:pPr>
      <w:r>
        <w:t>下述试验由供应商负责，供应商需向国祥提供进行下述试验的具体时间，以方便国祥技术人员一起参加上述试验，并且供应商需向国祥提供相关试验报告。</w:t>
      </w:r>
    </w:p>
    <w:p>
      <w:pPr>
        <w:pStyle w:val="3"/>
        <w:tabs>
          <w:tab w:val="left" w:pos="0"/>
          <w:tab w:val="clear" w:pos="567"/>
        </w:tabs>
        <w:spacing w:before="120"/>
      </w:pPr>
      <w:r>
        <w:t>供应商应编制试验大纲，由国祥批准。</w:t>
      </w:r>
    </w:p>
    <w:p>
      <w:pPr>
        <w:ind w:firstLine="480"/>
      </w:pPr>
      <w:r>
        <w:t>例行试验至少要包括以下内容：</w:t>
      </w:r>
    </w:p>
    <w:tbl>
      <w:tblPr>
        <w:tblStyle w:val="60"/>
        <w:tblW w:w="89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3135"/>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序号</w:t>
            </w:r>
          </w:p>
        </w:tc>
        <w:tc>
          <w:tcPr>
            <w:tcW w:w="17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试验</w:t>
            </w:r>
          </w:p>
        </w:tc>
        <w:tc>
          <w:tcPr>
            <w:tcW w:w="3135"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试验工况</w:t>
            </w:r>
          </w:p>
        </w:tc>
        <w:tc>
          <w:tcPr>
            <w:tcW w:w="311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待检查项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1</w:t>
            </w:r>
          </w:p>
        </w:tc>
        <w:tc>
          <w:tcPr>
            <w:tcW w:w="17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目检</w:t>
            </w:r>
          </w:p>
        </w:tc>
        <w:tc>
          <w:tcPr>
            <w:tcW w:w="3135"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rPr>
              <w:t>EN50155，13.4.1部分</w:t>
            </w:r>
          </w:p>
        </w:tc>
        <w:tc>
          <w:tcPr>
            <w:tcW w:w="311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2</w:t>
            </w:r>
          </w:p>
        </w:tc>
        <w:tc>
          <w:tcPr>
            <w:tcW w:w="17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性能试验</w:t>
            </w:r>
          </w:p>
        </w:tc>
        <w:tc>
          <w:tcPr>
            <w:tcW w:w="3135"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EN50155，13.4.2部分</w:t>
            </w:r>
          </w:p>
        </w:tc>
        <w:tc>
          <w:tcPr>
            <w:tcW w:w="311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检查所有输入和输出、通讯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3</w:t>
            </w:r>
          </w:p>
        </w:tc>
        <w:tc>
          <w:tcPr>
            <w:tcW w:w="17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绝缘试验</w:t>
            </w:r>
          </w:p>
        </w:tc>
        <w:tc>
          <w:tcPr>
            <w:tcW w:w="3135"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EN50155，13.4.9部分</w:t>
            </w:r>
          </w:p>
        </w:tc>
        <w:tc>
          <w:tcPr>
            <w:tcW w:w="311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绝缘</w:t>
            </w:r>
          </w:p>
        </w:tc>
      </w:tr>
    </w:tbl>
    <w:p>
      <w:pPr>
        <w:ind w:firstLine="480"/>
      </w:pPr>
      <w:r>
        <w:t>型式试验至少包括以下内容：</w:t>
      </w:r>
    </w:p>
    <w:tbl>
      <w:tblPr>
        <w:tblStyle w:val="60"/>
        <w:tblW w:w="8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559"/>
        <w:gridCol w:w="3402"/>
        <w:gridCol w:w="3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序号</w:t>
            </w:r>
          </w:p>
        </w:tc>
        <w:tc>
          <w:tcPr>
            <w:tcW w:w="1559"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试验</w:t>
            </w:r>
          </w:p>
        </w:tc>
        <w:tc>
          <w:tcPr>
            <w:tcW w:w="3402"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试验工况</w:t>
            </w:r>
          </w:p>
        </w:tc>
        <w:tc>
          <w:tcPr>
            <w:tcW w:w="3078"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待检查项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目检</w:t>
            </w:r>
          </w:p>
        </w:tc>
        <w:tc>
          <w:tcPr>
            <w:tcW w:w="340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rPr>
              <w:t>EN50155，13.4.1部分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2</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性能试验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EN50155，13.4.2部分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检查所有输入和输出</w:t>
            </w:r>
          </w:p>
          <w:p>
            <w:pPr>
              <w:pStyle w:val="156"/>
              <w:keepNext w:val="0"/>
              <w:keepLines w:val="0"/>
              <w:widowControl/>
              <w:suppressLineNumbers w:val="0"/>
              <w:spacing w:beforeAutospacing="0" w:after="0" w:afterAutospacing="0"/>
              <w:ind w:left="0" w:right="0"/>
              <w:rPr>
                <w:rFonts w:hint="default"/>
                <w:lang w:val="en-GB"/>
              </w:rPr>
            </w:pPr>
            <w:r>
              <w:rPr>
                <w:rFonts w:hint="default"/>
                <w:lang w:val="en-GB"/>
              </w:rPr>
              <w:t>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3</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电源试验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EN50155，13.4.3部分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4</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干热试验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EN50155，13.4.5部分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5</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湿热试验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EN50155，13.4.7部分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6</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绝缘试验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EN50155，13.4.9部分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绝缘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7</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低温存储试验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w:t>
            </w:r>
            <w:r>
              <w:rPr>
                <w:rFonts w:hint="eastAsia"/>
              </w:rPr>
              <w:t>，1</w:t>
            </w:r>
            <w:r>
              <w:rPr>
                <w:rFonts w:hint="default"/>
              </w:rPr>
              <w:t>3.4.6部分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8</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低温启动试验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w:t>
            </w:r>
            <w:r>
              <w:rPr>
                <w:rFonts w:hint="eastAsia"/>
              </w:rPr>
              <w:t>，1</w:t>
            </w:r>
            <w:r>
              <w:rPr>
                <w:rFonts w:hint="default"/>
              </w:rPr>
              <w:t>3.4.4部分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9</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振动试验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IEC61373</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10</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EMC试验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 50121-3-2</w:t>
            </w:r>
          </w:p>
          <w:p>
            <w:pPr>
              <w:pStyle w:val="156"/>
              <w:keepNext w:val="0"/>
              <w:keepLines w:val="0"/>
              <w:widowControl/>
              <w:suppressLineNumbers w:val="0"/>
              <w:spacing w:beforeAutospacing="0" w:after="0" w:afterAutospacing="0"/>
              <w:ind w:left="0" w:right="0"/>
              <w:rPr>
                <w:rFonts w:hint="default"/>
              </w:rPr>
            </w:pPr>
            <w:r>
              <w:rPr>
                <w:rFonts w:hint="eastAsia"/>
              </w:rPr>
              <w:t>EN</w:t>
            </w:r>
            <w:r>
              <w:rPr>
                <w:rFonts w:hint="default"/>
              </w:rPr>
              <w:t xml:space="preserve"> 50155</w:t>
            </w:r>
          </w:p>
        </w:tc>
        <w:tc>
          <w:tcPr>
            <w:tcW w:w="3078" w:type="dxa"/>
            <w:vAlign w:val="center"/>
          </w:tcPr>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1传导骚扰</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2辐射骚扰</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3电快速瞬变脉冲群抗扰度试验</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4浪涌冲击抗扰度试验</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5射频电磁场辐射的抗扰度试验</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6射频场感应传导抗扰度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7静电放电抗扰度试验</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8电源欠压/过压抗扰度试验</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9电源短时中断抗扰度试验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11</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长周期</w:t>
            </w:r>
            <w:r>
              <w:rPr>
                <w:rFonts w:hint="default"/>
                <w:lang w:val="en-GB"/>
              </w:rPr>
              <w:t>通断电试验</w:t>
            </w:r>
          </w:p>
        </w:tc>
        <w:tc>
          <w:tcPr>
            <w:tcW w:w="3402"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c>
          <w:tcPr>
            <w:tcW w:w="3078" w:type="dxa"/>
            <w:vAlign w:val="center"/>
          </w:tcPr>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12个小时</w:t>
            </w:r>
            <w:r>
              <w:rPr>
                <w:rFonts w:hint="default"/>
                <w:lang w:val="en-GB"/>
              </w:rPr>
              <w:t>连续通断电，</w:t>
            </w:r>
            <w:r>
              <w:rPr>
                <w:rFonts w:hint="eastAsia"/>
                <w:lang w:val="en-GB"/>
              </w:rPr>
              <w:t>每30</w:t>
            </w:r>
            <w:r>
              <w:rPr>
                <w:rFonts w:hint="default"/>
                <w:lang w:val="en-GB"/>
              </w:rPr>
              <w:t>S通断电</w:t>
            </w:r>
            <w:r>
              <w:rPr>
                <w:rFonts w:hint="eastAsia"/>
                <w:lang w:val="en-GB"/>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4"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12</w:t>
            </w:r>
          </w:p>
        </w:tc>
        <w:tc>
          <w:tcPr>
            <w:tcW w:w="1559"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盐雾试验</w:t>
            </w:r>
          </w:p>
        </w:tc>
        <w:tc>
          <w:tcPr>
            <w:tcW w:w="3402" w:type="dxa"/>
            <w:vAlign w:val="center"/>
          </w:tcPr>
          <w:p>
            <w:pPr>
              <w:pStyle w:val="156"/>
              <w:keepNext w:val="0"/>
              <w:keepLines w:val="0"/>
              <w:widowControl/>
              <w:suppressLineNumbers w:val="0"/>
              <w:spacing w:beforeAutospacing="0" w:after="0" w:afterAutospacing="0"/>
              <w:ind w:left="0" w:right="0"/>
              <w:jc w:val="left"/>
              <w:rPr>
                <w:rFonts w:hint="default"/>
              </w:rPr>
            </w:pPr>
            <w:r>
              <w:rPr>
                <w:rFonts w:hint="default"/>
              </w:rPr>
              <w:t>EN50155</w:t>
            </w:r>
            <w:r>
              <w:rPr>
                <w:rFonts w:hint="eastAsia"/>
              </w:rPr>
              <w:t>，1</w:t>
            </w:r>
            <w:r>
              <w:rPr>
                <w:rFonts w:hint="default"/>
              </w:rPr>
              <w:t>3.4.</w:t>
            </w:r>
            <w:r>
              <w:rPr>
                <w:rFonts w:hint="eastAsia"/>
              </w:rPr>
              <w:t>10</w:t>
            </w:r>
            <w:r>
              <w:rPr>
                <w:rFonts w:hint="default"/>
              </w:rPr>
              <w:t>部分</w:t>
            </w:r>
          </w:p>
        </w:tc>
        <w:tc>
          <w:tcPr>
            <w:tcW w:w="307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bl>
    <w:p>
      <w:pPr>
        <w:ind w:firstLine="480"/>
      </w:pPr>
      <w:r>
        <w:t>当控制器硬件变动时，如涉及到EMC电气改动，需根据项目要求进行型式试验。</w:t>
      </w:r>
    </w:p>
    <w:p>
      <w:pPr>
        <w:pStyle w:val="2"/>
        <w:spacing w:before="240" w:after="120"/>
      </w:pPr>
      <w:r>
        <w:t>供应商的工作</w:t>
      </w:r>
    </w:p>
    <w:p>
      <w:pPr>
        <w:pStyle w:val="3"/>
        <w:tabs>
          <w:tab w:val="left" w:pos="0"/>
          <w:tab w:val="clear" w:pos="567"/>
        </w:tabs>
        <w:spacing w:before="120"/>
      </w:pPr>
      <w:r>
        <w:t>根据国祥提供的技术条件进行试制。</w:t>
      </w:r>
    </w:p>
    <w:p>
      <w:pPr>
        <w:pStyle w:val="3"/>
        <w:tabs>
          <w:tab w:val="left" w:pos="0"/>
          <w:tab w:val="clear" w:pos="567"/>
        </w:tabs>
        <w:spacing w:before="120"/>
      </w:pPr>
      <w:r>
        <w:t>编制型式试验和例行试验大纲。</w:t>
      </w:r>
    </w:p>
    <w:p>
      <w:pPr>
        <w:ind w:firstLine="480"/>
      </w:pPr>
      <w:r>
        <w:t>根据本技术条件，编制型式试验和例行试验大纲，并提交国祥进行审查。</w:t>
      </w:r>
    </w:p>
    <w:p>
      <w:pPr>
        <w:pStyle w:val="3"/>
        <w:tabs>
          <w:tab w:val="left" w:pos="0"/>
          <w:tab w:val="clear" w:pos="567"/>
        </w:tabs>
        <w:spacing w:before="120"/>
      </w:pPr>
      <w:r>
        <w:t>提交材料证明报告</w:t>
      </w:r>
    </w:p>
    <w:p>
      <w:pPr>
        <w:ind w:firstLine="480"/>
      </w:pPr>
      <w:r>
        <w:t>对所有使用的材料必须给出牌号、名称、采用标准及应用部件，并列出清单。</w:t>
      </w:r>
    </w:p>
    <w:p>
      <w:pPr>
        <w:ind w:firstLine="480"/>
      </w:pPr>
      <w:r>
        <w:rPr>
          <w:rFonts w:hint="eastAsia"/>
        </w:rPr>
        <w:t>非金属材料提供EN45545-2</w:t>
      </w:r>
      <w:r>
        <w:t xml:space="preserve"> </w:t>
      </w:r>
      <w:r>
        <w:rPr>
          <w:rFonts w:hint="eastAsia"/>
        </w:rPr>
        <w:t>R</w:t>
      </w:r>
      <w:r>
        <w:t>22</w:t>
      </w:r>
      <w:r>
        <w:rPr>
          <w:rFonts w:hint="eastAsia"/>
        </w:rPr>
        <w:t>、R23、R</w:t>
      </w:r>
      <w:r>
        <w:t>26</w:t>
      </w:r>
      <w:r>
        <w:rPr>
          <w:rFonts w:hint="eastAsia"/>
        </w:rPr>
        <w:t>中的一种报告。</w:t>
      </w:r>
    </w:p>
    <w:p>
      <w:pPr>
        <w:ind w:firstLine="480"/>
      </w:pPr>
      <w:r>
        <w:rPr>
          <w:rFonts w:hint="eastAsia"/>
        </w:rPr>
        <w:t>PCB板提供EN45545-2</w:t>
      </w:r>
      <w:r>
        <w:t xml:space="preserve"> </w:t>
      </w:r>
      <w:r>
        <w:rPr>
          <w:rFonts w:hint="eastAsia"/>
        </w:rPr>
        <w:t>R24、R</w:t>
      </w:r>
      <w:r>
        <w:t>25</w:t>
      </w:r>
      <w:r>
        <w:rPr>
          <w:rFonts w:hint="eastAsia"/>
        </w:rPr>
        <w:t>中的一种报告。</w:t>
      </w:r>
    </w:p>
    <w:p>
      <w:pPr>
        <w:ind w:firstLine="480"/>
      </w:pPr>
      <w:r>
        <w:rPr>
          <w:rFonts w:hint="eastAsia"/>
        </w:rPr>
        <w:t>主要零部件的材料清单及相关报告在设计阶段提交买方。</w:t>
      </w:r>
    </w:p>
    <w:p>
      <w:pPr>
        <w:pStyle w:val="3"/>
        <w:tabs>
          <w:tab w:val="left" w:pos="0"/>
          <w:tab w:val="clear" w:pos="567"/>
        </w:tabs>
        <w:spacing w:before="120"/>
      </w:pPr>
      <w:r>
        <w:t>供货试装车，配合运行考核及负责可能的整改。</w:t>
      </w:r>
    </w:p>
    <w:p>
      <w:pPr>
        <w:pStyle w:val="2"/>
        <w:spacing w:before="240" w:after="120"/>
      </w:pPr>
      <w:r>
        <w:t>技术资料及随机提供物品</w:t>
      </w:r>
    </w:p>
    <w:p>
      <w:pPr>
        <w:pStyle w:val="3"/>
        <w:tabs>
          <w:tab w:val="left" w:pos="0"/>
          <w:tab w:val="clear" w:pos="567"/>
        </w:tabs>
        <w:spacing w:before="120"/>
      </w:pPr>
      <w:r>
        <w:t>技术文件</w:t>
      </w:r>
    </w:p>
    <w:p>
      <w:pPr>
        <w:ind w:firstLine="480"/>
      </w:pPr>
      <w:r>
        <w:rPr>
          <w:rFonts w:hint="eastAsia"/>
        </w:rPr>
        <w:t>如客户需求，以下资料供应商均需提供中英文版，或中、英文两种版本。下表中不包含的，但是石家庄国祥运输设备有限公司的《外购件技术文件清单》中包含的文件，也需要提供。</w:t>
      </w:r>
    </w:p>
    <w:p>
      <w:pPr>
        <w:ind w:firstLine="480"/>
      </w:pPr>
      <w:r>
        <w:rPr>
          <w:rFonts w:hint="eastAsia"/>
        </w:rPr>
        <w:t>电子文档列表：</w:t>
      </w:r>
    </w:p>
    <w:tbl>
      <w:tblPr>
        <w:tblStyle w:val="61"/>
        <w:tblW w:w="84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254"/>
        <w:gridCol w:w="1554"/>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序号</w:t>
            </w:r>
          </w:p>
        </w:tc>
        <w:tc>
          <w:tcPr>
            <w:tcW w:w="3254" w:type="dxa"/>
          </w:tcPr>
          <w:p>
            <w:pPr>
              <w:pStyle w:val="156"/>
              <w:keepNext w:val="0"/>
              <w:keepLines w:val="0"/>
              <w:widowControl w:val="0"/>
              <w:suppressLineNumbers w:val="0"/>
              <w:spacing w:beforeAutospacing="0" w:after="0" w:afterAutospacing="0"/>
              <w:ind w:left="0" w:right="0"/>
              <w:rPr>
                <w:rFonts w:hint="default"/>
              </w:rPr>
            </w:pPr>
            <w:r>
              <w:rPr>
                <w:rFonts w:hint="eastAsia"/>
              </w:rPr>
              <w:t>要求</w:t>
            </w:r>
          </w:p>
        </w:tc>
        <w:tc>
          <w:tcPr>
            <w:tcW w:w="1554" w:type="dxa"/>
          </w:tcPr>
          <w:p>
            <w:pPr>
              <w:pStyle w:val="156"/>
              <w:keepNext w:val="0"/>
              <w:keepLines w:val="0"/>
              <w:widowControl w:val="0"/>
              <w:suppressLineNumbers w:val="0"/>
              <w:spacing w:beforeAutospacing="0" w:after="0" w:afterAutospacing="0"/>
              <w:ind w:left="0" w:right="0"/>
              <w:rPr>
                <w:rFonts w:hint="default"/>
              </w:rPr>
            </w:pPr>
            <w:r>
              <w:rPr>
                <w:rFonts w:hint="eastAsia"/>
              </w:rPr>
              <w:t>随主机提供</w:t>
            </w:r>
          </w:p>
        </w:tc>
        <w:tc>
          <w:tcPr>
            <w:tcW w:w="2404" w:type="dxa"/>
          </w:tcPr>
          <w:p>
            <w:pPr>
              <w:pStyle w:val="156"/>
              <w:keepNext w:val="0"/>
              <w:keepLines w:val="0"/>
              <w:widowControl w:val="0"/>
              <w:suppressLineNumbers w:val="0"/>
              <w:spacing w:beforeAutospacing="0" w:after="0" w:afterAutospacing="0"/>
              <w:ind w:left="0" w:right="0"/>
              <w:rPr>
                <w:rFonts w:hint="default"/>
              </w:rPr>
            </w:pPr>
            <w:r>
              <w:rPr>
                <w:rFonts w:hint="eastAsia"/>
              </w:rPr>
              <w:t>首批前提供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1</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例行实验大纲</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2</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例行实验报告（出厂）</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c>
          <w:tcPr>
            <w:tcW w:w="2404" w:type="dxa"/>
            <w:tcBorders>
              <w:top w:val="nil"/>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3</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型式实验大纲</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nil"/>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4</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型式实验报告</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nil"/>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bottom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5</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烟火报告</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nil"/>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6</w:t>
            </w:r>
          </w:p>
        </w:tc>
        <w:tc>
          <w:tcPr>
            <w:tcW w:w="325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用户手册1</w:t>
            </w:r>
          </w:p>
        </w:tc>
        <w:tc>
          <w:tcPr>
            <w:tcW w:w="1554"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Borders>
              <w:top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7</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合格证</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c>
          <w:tcPr>
            <w:tcW w:w="240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8</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签字版CBC（技术条件相应）</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9</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关键零部件清单</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10</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铭牌及二维图纸2</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11</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维护手册3</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7" w:type="dxa"/>
          </w:tcPr>
          <w:p>
            <w:pPr>
              <w:pStyle w:val="156"/>
              <w:keepNext w:val="0"/>
              <w:keepLines w:val="0"/>
              <w:widowControl w:val="0"/>
              <w:suppressLineNumbers w:val="0"/>
              <w:spacing w:beforeAutospacing="0" w:after="0" w:afterAutospacing="0"/>
              <w:ind w:left="0" w:right="0"/>
              <w:rPr>
                <w:rFonts w:hint="default"/>
              </w:rPr>
            </w:pPr>
            <w:r>
              <w:rPr>
                <w:rFonts w:hint="eastAsia"/>
              </w:rPr>
              <w:t>13</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Autospacing="0" w:after="0" w:afterAutospacing="0"/>
              <w:ind w:left="0" w:right="0"/>
              <w:rPr>
                <w:rFonts w:hint="default"/>
              </w:rPr>
            </w:pPr>
            <w:r>
              <w:rPr>
                <w:rFonts w:hint="eastAsia"/>
              </w:rPr>
              <w:t>部件应用的支撑资料（硬件图纸、软件驱动、调试软件等）</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p>
        </w:tc>
        <w:tc>
          <w:tcPr>
            <w:tcW w:w="240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Autospacing="0" w:after="0" w:afterAutospacing="0"/>
              <w:ind w:left="0" w:right="0"/>
              <w:rPr>
                <w:rFonts w:hint="default"/>
              </w:rPr>
            </w:pPr>
            <w:r>
              <w:rPr>
                <w:rFonts w:hint="eastAsia"/>
              </w:rPr>
              <w:t>根据项目应用具体情况，如需要，则国祥会再次提起具体清单。</w:t>
            </w:r>
          </w:p>
        </w:tc>
      </w:tr>
    </w:tbl>
    <w:p>
      <w:pPr>
        <w:ind w:firstLine="480"/>
      </w:pPr>
      <w:r>
        <w:rPr>
          <w:rFonts w:hint="eastAsia"/>
        </w:rPr>
        <w:t>注1：至少应包含1.部件原理介绍，拓扑图；2.详细接口定义；3.通讯协议；4.部件参数列表及说明；5.可调参数、拨码开关等的列表及说明；6.外形尺寸二维图纸；7.使用注意事项；8.装箱清单；9.RAMS技术文件；</w:t>
      </w:r>
    </w:p>
    <w:p>
      <w:pPr>
        <w:ind w:firstLine="480"/>
      </w:pPr>
      <w:r>
        <w:rPr>
          <w:rFonts w:hint="eastAsia"/>
        </w:rPr>
        <w:t>注2：外形轮廓、安装尺寸等标注齐全、清晰，需标注公差。</w:t>
      </w:r>
    </w:p>
    <w:p>
      <w:pPr>
        <w:ind w:firstLine="480"/>
      </w:pPr>
      <w:r>
        <w:rPr>
          <w:rFonts w:hint="eastAsia"/>
        </w:rPr>
        <w:t>注3：检修周期，检修维护的步骤、使用的工具以及易损易耗件清单。</w:t>
      </w:r>
    </w:p>
    <w:p>
      <w:pPr>
        <w:pStyle w:val="3"/>
        <w:tabs>
          <w:tab w:val="left" w:pos="0"/>
          <w:tab w:val="clear" w:pos="567"/>
        </w:tabs>
        <w:spacing w:before="120"/>
      </w:pPr>
      <w:r>
        <w:t>合格证</w:t>
      </w:r>
    </w:p>
    <w:p>
      <w:pPr>
        <w:ind w:firstLine="480"/>
      </w:pPr>
      <w:r>
        <w:t>a. 制造工厂名称；</w:t>
      </w:r>
    </w:p>
    <w:p>
      <w:pPr>
        <w:ind w:firstLine="480"/>
      </w:pPr>
      <w:r>
        <w:t>b. 产品名称、规格；</w:t>
      </w:r>
    </w:p>
    <w:p>
      <w:pPr>
        <w:ind w:firstLine="480"/>
      </w:pPr>
      <w:r>
        <w:t>c. 制造日期（年月日）；</w:t>
      </w:r>
    </w:p>
    <w:p>
      <w:pPr>
        <w:ind w:firstLine="480"/>
      </w:pPr>
      <w:r>
        <w:t>d. 产品编号；</w:t>
      </w:r>
    </w:p>
    <w:p>
      <w:pPr>
        <w:ind w:firstLine="480"/>
      </w:pPr>
      <w:r>
        <w:t>e. 检验人员印章。</w:t>
      </w:r>
    </w:p>
    <w:p>
      <w:pPr>
        <w:pStyle w:val="2"/>
        <w:spacing w:before="240" w:after="120"/>
      </w:pPr>
      <w:r>
        <w:t xml:space="preserve">包装及贮存 </w:t>
      </w:r>
    </w:p>
    <w:p>
      <w:pPr>
        <w:ind w:firstLine="480"/>
      </w:pPr>
      <w:r>
        <w:t xml:space="preserve"> 控制器在制造试验完毕后，应采取有效措施，防止异物进入装置内部。</w:t>
      </w:r>
    </w:p>
    <w:p>
      <w:pPr>
        <w:ind w:firstLine="480"/>
      </w:pPr>
      <w:r>
        <w:t xml:space="preserve"> 包装及发货标志应符合有关规定。</w:t>
      </w:r>
    </w:p>
    <w:p>
      <w:pPr>
        <w:ind w:firstLine="480"/>
      </w:pPr>
      <w:r>
        <w:t xml:space="preserve"> 每台控制器需在外壳固定位置标识生产序列号，方案需提交国祥确认后实施。</w:t>
      </w:r>
    </w:p>
    <w:p>
      <w:pPr>
        <w:ind w:firstLine="480"/>
      </w:pPr>
      <w:r>
        <w:t xml:space="preserve"> 发货时所有连接器插头应随控制器一起发送；标注型号并粘贴型号于包装上。包装箱内有明确的附件清单。</w:t>
      </w:r>
    </w:p>
    <w:p>
      <w:pPr>
        <w:pStyle w:val="2"/>
        <w:spacing w:before="240" w:after="120"/>
      </w:pPr>
      <w:r>
        <w:t>其它事项</w:t>
      </w:r>
    </w:p>
    <w:p>
      <w:pPr>
        <w:ind w:firstLine="480"/>
      </w:pPr>
      <w:r>
        <w:t>供应商有义务对直接及间接用户进行培训及现场指导，使用户清楚了解其基本原理、基本结构、使用维护及检修方法。</w:t>
      </w:r>
    </w:p>
    <w:p>
      <w:pPr>
        <w:ind w:firstLine="480"/>
      </w:pPr>
      <w:r>
        <w:t>供应商应及时了解其产品在段运行使用情况，及时改进设计及制造工艺，以提高产品的质量。控制器使用期间，供应商应及时提供技术支持，应在24小时内对发生的质量问题给予答复，并及时提供维修服务。</w:t>
      </w:r>
    </w:p>
    <w:p>
      <w:pPr>
        <w:ind w:firstLine="480"/>
      </w:pPr>
      <w:r>
        <w:t>从样机验证合格后控制器硬件的任何变更都须书面申请，经国祥同意后升级为相应版本。</w:t>
      </w:r>
    </w:p>
    <w:p>
      <w:pPr>
        <w:ind w:firstLine="480"/>
      </w:pPr>
      <w:r>
        <w:t>采用此系列控制器模块组装后的平均无故障时间不低于</w:t>
      </w:r>
      <w:r>
        <w:rPr>
          <w:rFonts w:hint="eastAsia"/>
        </w:rPr>
        <w:t>2</w:t>
      </w:r>
      <w:r>
        <w:t>0 0000小时。</w:t>
      </w:r>
    </w:p>
    <w:p>
      <w:pPr>
        <w:ind w:firstLine="480"/>
      </w:pPr>
      <w:r>
        <w:t>技术条件中未尽事宜，另行协商解决。</w:t>
      </w:r>
    </w:p>
    <w:p>
      <w:pPr>
        <w:ind w:firstLine="480"/>
      </w:pPr>
      <w:r>
        <w:br w:type="page"/>
      </w:r>
    </w:p>
    <w:p>
      <w:pPr>
        <w:ind w:firstLine="480"/>
      </w:pPr>
      <w:r>
        <w:rPr>
          <w:rFonts w:hint="eastAsia"/>
        </w:rPr>
        <w:t>附录1：技术要求</w:t>
      </w:r>
    </w:p>
    <w:p>
      <w:pPr>
        <w:ind w:firstLine="480"/>
      </w:pPr>
      <w:r>
        <w:rPr>
          <w:rFonts w:hint="eastAsia"/>
        </w:rPr>
        <w:t>外壳安装十字头螺钉（螺纹规格M4），不涂螺纹紧固剂，不画防松线；</w:t>
      </w:r>
    </w:p>
    <w:p>
      <w:pPr>
        <w:ind w:firstLine="480"/>
      </w:pPr>
      <w:r>
        <w:rPr>
          <w:rFonts w:hint="eastAsia"/>
        </w:rPr>
        <w:t>外形尺寸、壳体丝印满足设计要求；</w:t>
      </w:r>
    </w:p>
    <w:p>
      <w:pPr>
        <w:ind w:firstLine="480"/>
      </w:pPr>
      <w:r>
        <w:rPr>
          <w:rFonts w:hint="eastAsia"/>
        </w:rPr>
        <w:t>重量≤2kg；</w:t>
      </w:r>
    </w:p>
    <w:p>
      <w:pPr>
        <w:ind w:firstLine="480"/>
      </w:pPr>
      <w:r>
        <w:rPr>
          <w:rFonts w:hint="eastAsia"/>
        </w:rPr>
        <w:t>附件清单含连接器插头（不含插针，需另外请购）</w:t>
      </w:r>
    </w:p>
    <w:p>
      <w:pPr>
        <w:pStyle w:val="204"/>
        <w:ind w:firstLine="720" w:firstLineChars="300"/>
      </w:pPr>
      <w:r>
        <w:rPr>
          <w:rFonts w:hint="eastAsia"/>
        </w:rPr>
        <w:t>推荐插头所用线芯规格分两种，分别如下：</w:t>
      </w:r>
    </w:p>
    <w:tbl>
      <w:tblPr>
        <w:tblStyle w:val="61"/>
        <w:tblW w:w="73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4"/>
        <w:gridCol w:w="3054"/>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534"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eastAsia"/>
              </w:rPr>
              <w:t>端子型号</w:t>
            </w:r>
          </w:p>
        </w:tc>
        <w:tc>
          <w:tcPr>
            <w:tcW w:w="3054"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eastAsia"/>
              </w:rPr>
              <w:t>端子规格</w:t>
            </w:r>
          </w:p>
        </w:tc>
        <w:tc>
          <w:tcPr>
            <w:tcW w:w="1778"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eastAsia"/>
              </w:rPr>
              <w:t>物料码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2534"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eastAsia"/>
              </w:rPr>
              <w:t>3-</w:t>
            </w:r>
            <w:r>
              <w:rPr>
                <w:rFonts w:hint="default"/>
              </w:rPr>
              <w:t>1447221</w:t>
            </w:r>
            <w:r>
              <w:rPr>
                <w:rFonts w:hint="eastAsia"/>
              </w:rPr>
              <w:t>-</w:t>
            </w:r>
            <w:r>
              <w:rPr>
                <w:rFonts w:hint="default"/>
              </w:rPr>
              <w:t>3</w:t>
            </w:r>
            <w:r>
              <w:rPr>
                <w:rFonts w:hint="eastAsia"/>
              </w:rPr>
              <w:t>（泰科）</w:t>
            </w:r>
          </w:p>
        </w:tc>
        <w:tc>
          <w:tcPr>
            <w:tcW w:w="3054"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eastAsia"/>
              </w:rPr>
              <w:t>插孔配件（0</w:t>
            </w:r>
            <w:r>
              <w:rPr>
                <w:rFonts w:hint="default"/>
              </w:rPr>
              <w:t>.75~1.25mm</w:t>
            </w:r>
            <w:r>
              <w:rPr>
                <w:rFonts w:hint="eastAsia"/>
              </w:rPr>
              <w:t>²）</w:t>
            </w:r>
          </w:p>
        </w:tc>
        <w:tc>
          <w:tcPr>
            <w:tcW w:w="1778"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default"/>
              </w:rPr>
              <w:t>2.03.05.0125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2534"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eastAsia"/>
              </w:rPr>
              <w:t>3-</w:t>
            </w:r>
            <w:r>
              <w:rPr>
                <w:rFonts w:hint="default"/>
              </w:rPr>
              <w:t>1447221</w:t>
            </w:r>
            <w:r>
              <w:rPr>
                <w:rFonts w:hint="eastAsia"/>
              </w:rPr>
              <w:t>-</w:t>
            </w:r>
            <w:r>
              <w:rPr>
                <w:rFonts w:hint="default"/>
              </w:rPr>
              <w:t>4</w:t>
            </w:r>
            <w:r>
              <w:rPr>
                <w:rFonts w:hint="eastAsia"/>
              </w:rPr>
              <w:t>（泰科）</w:t>
            </w:r>
          </w:p>
        </w:tc>
        <w:tc>
          <w:tcPr>
            <w:tcW w:w="3054"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eastAsia"/>
              </w:rPr>
              <w:t>插孔配件（0</w:t>
            </w:r>
            <w:r>
              <w:rPr>
                <w:rFonts w:hint="default"/>
              </w:rPr>
              <w:t>.5</w:t>
            </w:r>
            <w:r>
              <w:rPr>
                <w:rFonts w:hint="eastAsia"/>
              </w:rPr>
              <w:t>mm²）</w:t>
            </w:r>
          </w:p>
        </w:tc>
        <w:tc>
          <w:tcPr>
            <w:tcW w:w="1778"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default"/>
              </w:rPr>
              <w:t>2.03.05.0126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2534"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default"/>
              </w:rPr>
              <w:t>4-1437284-3</w:t>
            </w:r>
            <w:r>
              <w:rPr>
                <w:rFonts w:hint="eastAsia"/>
              </w:rPr>
              <w:t>（泰科）</w:t>
            </w:r>
          </w:p>
        </w:tc>
        <w:tc>
          <w:tcPr>
            <w:tcW w:w="3054"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eastAsia"/>
              </w:rPr>
              <w:t>塑料端子塞</w:t>
            </w:r>
          </w:p>
        </w:tc>
        <w:tc>
          <w:tcPr>
            <w:tcW w:w="1778" w:type="dxa"/>
            <w:vAlign w:val="center"/>
          </w:tcPr>
          <w:p>
            <w:pPr>
              <w:pStyle w:val="204"/>
              <w:keepNext w:val="0"/>
              <w:keepLines w:val="0"/>
              <w:suppressLineNumbers w:val="0"/>
              <w:spacing w:before="0" w:beforeAutospacing="0" w:after="0" w:afterAutospacing="0"/>
              <w:ind w:left="0" w:right="0" w:firstLine="0" w:firstLineChars="0"/>
              <w:rPr>
                <w:rFonts w:hint="default"/>
              </w:rPr>
            </w:pPr>
            <w:r>
              <w:rPr>
                <w:rFonts w:hint="default"/>
              </w:rPr>
              <w:t>2.03.05.0124</w:t>
            </w:r>
          </w:p>
        </w:tc>
      </w:tr>
    </w:tbl>
    <w:p>
      <w:pPr>
        <w:ind w:firstLine="480"/>
      </w:pPr>
      <w:r>
        <w:rPr>
          <w:rFonts w:hint="eastAsia"/>
        </w:rPr>
        <w:t>注：为实现产品防水效果，对不使用的孔位请用塑料端子塞填充。</w:t>
      </w:r>
    </w:p>
    <w:p>
      <w:pPr>
        <w:ind w:firstLine="480"/>
      </w:pPr>
      <w:r>
        <w:t>引脚定义如下：</w:t>
      </w:r>
    </w:p>
    <w:p>
      <w:pPr>
        <w:pStyle w:val="204"/>
        <w:ind w:firstLine="720" w:firstLineChars="300"/>
      </w:pPr>
      <w:r>
        <w:t xml:space="preserve">  </w:t>
      </w:r>
      <w:r>
        <w:drawing>
          <wp:inline distT="0" distB="0" distL="0" distR="0">
            <wp:extent cx="5760085" cy="1908810"/>
            <wp:effectExtent l="0" t="0" r="1206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5760085" cy="1908810"/>
                    </a:xfrm>
                    <a:prstGeom prst="rect">
                      <a:avLst/>
                    </a:prstGeom>
                  </pic:spPr>
                </pic:pic>
              </a:graphicData>
            </a:graphic>
          </wp:inline>
        </w:drawing>
      </w:r>
    </w:p>
    <w:p>
      <w:pPr>
        <w:ind w:firstLine="480"/>
      </w:pPr>
      <w:r>
        <w:br w:type="page"/>
      </w:r>
    </w:p>
    <w:p>
      <w:pPr>
        <w:ind w:firstLine="480"/>
      </w:pPr>
      <w:r>
        <w:rPr>
          <w:rFonts w:hint="eastAsia"/>
        </w:rPr>
        <w:t>附录2：KIO外观尺寸图</w:t>
      </w:r>
    </w:p>
    <w:p>
      <w:pPr>
        <w:ind w:firstLine="480"/>
      </w:pPr>
    </w:p>
    <w:p>
      <w:pPr>
        <w:ind w:firstLine="480"/>
      </w:pPr>
      <w:r>
        <w:drawing>
          <wp:anchor distT="0" distB="0" distL="114300" distR="114300" simplePos="0" relativeHeight="251670528" behindDoc="0" locked="0" layoutInCell="1" allowOverlap="1">
            <wp:simplePos x="0" y="0"/>
            <wp:positionH relativeFrom="column">
              <wp:posOffset>222885</wp:posOffset>
            </wp:positionH>
            <wp:positionV relativeFrom="paragraph">
              <wp:posOffset>106045</wp:posOffset>
            </wp:positionV>
            <wp:extent cx="5356225" cy="4159250"/>
            <wp:effectExtent l="0" t="0" r="15875" b="1270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356225" cy="4159250"/>
                    </a:xfrm>
                    <a:prstGeom prst="rect">
                      <a:avLst/>
                    </a:prstGeom>
                  </pic:spPr>
                </pic:pic>
              </a:graphicData>
            </a:graphic>
          </wp:anchor>
        </w:drawing>
      </w:r>
    </w:p>
    <w:p>
      <w:pPr>
        <w:ind w:firstLine="480"/>
      </w:pPr>
    </w:p>
    <w:p>
      <w:pPr>
        <w:ind w:firstLine="480"/>
      </w:pPr>
    </w:p>
    <w:p>
      <w:pPr>
        <w:ind w:firstLine="480"/>
      </w:pPr>
      <w:r>
        <w:br w:type="page"/>
      </w:r>
    </w:p>
    <w:p>
      <w:pPr>
        <w:ind w:firstLine="480"/>
        <w:rPr>
          <w:rFonts w:hint="eastAsia"/>
        </w:rPr>
      </w:pPr>
      <w:r>
        <w:rPr>
          <w:rFonts w:hint="eastAsia"/>
        </w:rPr>
        <w:t>附录3：端子定义</w:t>
      </w:r>
    </w:p>
    <w:p>
      <w:pPr>
        <w:ind w:firstLine="0" w:firstLineChars="0"/>
        <w:rPr>
          <w:color w:val="FF0000"/>
        </w:rPr>
      </w:pPr>
      <w:r>
        <w:rPr>
          <w:rFonts w:hint="eastAsia"/>
          <w:color w:val="FF0000"/>
        </w:rPr>
        <w:t xml:space="preserve">使用说明： DI/DO端口建议不同电压等级不要混用，即① XS1连接器如果使用了24V DI端口，COM1组与COM2组DO也使用24V；如XS1的DI端口不使用，COM1和COM2也可作为110V输出。② XS2的DO13~DO16作为110V输出时，其他DI/DO端口不可再使用。 </w:t>
      </w:r>
    </w:p>
    <w:tbl>
      <w:tblPr>
        <w:tblStyle w:val="60"/>
        <w:tblW w:w="8960" w:type="dxa"/>
        <w:tblInd w:w="0" w:type="dxa"/>
        <w:tblLayout w:type="fixed"/>
        <w:tblCellMar>
          <w:top w:w="0" w:type="dxa"/>
          <w:left w:w="0" w:type="dxa"/>
          <w:bottom w:w="0" w:type="dxa"/>
          <w:right w:w="0" w:type="dxa"/>
        </w:tblCellMar>
      </w:tblPr>
      <w:tblGrid>
        <w:gridCol w:w="826"/>
        <w:gridCol w:w="1493"/>
        <w:gridCol w:w="2208"/>
        <w:gridCol w:w="827"/>
        <w:gridCol w:w="1398"/>
        <w:gridCol w:w="2208"/>
      </w:tblGrid>
      <w:tr>
        <w:tblPrEx>
          <w:tblLayout w:type="fixed"/>
          <w:tblCellMar>
            <w:top w:w="0" w:type="dxa"/>
            <w:left w:w="0" w:type="dxa"/>
            <w:bottom w:w="0" w:type="dxa"/>
            <w:right w:w="0" w:type="dxa"/>
          </w:tblCellMar>
        </w:tblPrEx>
        <w:trPr>
          <w:trHeight w:val="175" w:hRule="atLeast"/>
        </w:trPr>
        <w:tc>
          <w:tcPr>
            <w:tcW w:w="896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XS1:KIO02-01C</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序号</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定义</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引脚功能描述</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序号</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定义</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引脚功能描述</w:t>
            </w:r>
          </w:p>
        </w:tc>
      </w:tr>
      <w:tr>
        <w:tblPrEx>
          <w:tblLayout w:type="fixed"/>
          <w:tblCellMar>
            <w:top w:w="0" w:type="dxa"/>
            <w:left w:w="0" w:type="dxa"/>
            <w:bottom w:w="0" w:type="dxa"/>
            <w:right w:w="0" w:type="dxa"/>
          </w:tblCellMar>
        </w:tblPrEx>
        <w:trPr>
          <w:trHeight w:val="329"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COM1+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 xml:space="preserve">DO公共端(DO1-DO7)     </w:t>
            </w:r>
            <w:r>
              <w:rPr>
                <w:rFonts w:hint="eastAsia" w:ascii="宋体" w:hAnsi="宋体" w:cs="宋体"/>
                <w:color w:val="FF0000"/>
                <w:kern w:val="0"/>
                <w:sz w:val="22"/>
                <w:szCs w:val="22"/>
                <w:highlight w:val="yellow"/>
              </w:rPr>
              <w:t>DC24V(P24)</w:t>
            </w:r>
            <w:r>
              <w:rPr>
                <w:rFonts w:hint="eastAsia"/>
                <w:highlight w:val="yellow"/>
              </w:rPr>
              <w:t xml:space="preserve">   </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18</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DI通道11</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19</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DI通道5</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20</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DI通道2</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4</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DO通道3</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21</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5</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DO通道4</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22</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DI通道13</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6</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23</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(24)IN23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DI通道23</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7</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(110)DO6</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DO通道6</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(24)IN24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DI通道24</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8</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DO通道7</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25</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(110)DO9</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DO通道9</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9</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DO通道8</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26</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DI通道4</w:t>
            </w:r>
          </w:p>
        </w:tc>
      </w:tr>
      <w:tr>
        <w:tblPrEx>
          <w:tblLayout w:type="fixed"/>
          <w:tblCellMar>
            <w:top w:w="0" w:type="dxa"/>
            <w:left w:w="0" w:type="dxa"/>
            <w:bottom w:w="0" w:type="dxa"/>
            <w:right w:w="0" w:type="dxa"/>
          </w:tblCellMar>
        </w:tblPrEx>
        <w:trPr>
          <w:trHeight w:val="52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10</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COM1-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DI公共端GND      (N24)(IN1-IN12)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27</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DI通道10</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28</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DI通道3</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12</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(24)IN6</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DI通道6</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29</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(24)IN16</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DI通道16</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(24)IN9</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DI通道9</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30</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DI通道17</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14</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DI通道8</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31</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(24)IN18</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DI通道18</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15</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(24)IN7</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DI通道7</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32</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(24)IN22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DI通道22</w:t>
            </w:r>
          </w:p>
        </w:tc>
      </w:tr>
      <w:tr>
        <w:tblPrEx>
          <w:tblLayout w:type="fixed"/>
          <w:tblCellMar>
            <w:top w:w="0" w:type="dxa"/>
            <w:left w:w="0" w:type="dxa"/>
            <w:bottom w:w="0" w:type="dxa"/>
            <w:right w:w="0" w:type="dxa"/>
          </w:tblCellMar>
        </w:tblPrEx>
        <w:trPr>
          <w:trHeight w:val="329"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16</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(24)IN19</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DI通道19</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33</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COM2-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DI公共端GND       (N24)(IN13-IN24)</w:t>
            </w:r>
          </w:p>
        </w:tc>
      </w:tr>
      <w:tr>
        <w:tblPrEx>
          <w:tblLayout w:type="fixed"/>
          <w:tblCellMar>
            <w:top w:w="0" w:type="dxa"/>
            <w:left w:w="0" w:type="dxa"/>
            <w:bottom w:w="0" w:type="dxa"/>
            <w:right w:w="0" w:type="dxa"/>
          </w:tblCellMar>
        </w:tblPrEx>
        <w:trPr>
          <w:trHeight w:val="329"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17</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COM2+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DO公共端(DO8-DO12)      DC24V(P24)</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34</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(110)DO10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DO通道10</w:t>
            </w:r>
          </w:p>
        </w:tc>
      </w:tr>
      <w:tr>
        <w:tblPrEx>
          <w:tblLayout w:type="fixed"/>
          <w:tblCellMar>
            <w:top w:w="0" w:type="dxa"/>
            <w:left w:w="0" w:type="dxa"/>
            <w:bottom w:w="0" w:type="dxa"/>
            <w:right w:w="0" w:type="dxa"/>
          </w:tblCellMar>
        </w:tblPrEx>
        <w:trPr>
          <w:trHeight w:val="123" w:hRule="atLeast"/>
        </w:trPr>
        <w:tc>
          <w:tcPr>
            <w:tcW w:w="826"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1493"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220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827"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139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220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r>
      <w:tr>
        <w:tblPrEx>
          <w:tblLayout w:type="fixed"/>
          <w:tblCellMar>
            <w:top w:w="0" w:type="dxa"/>
            <w:left w:w="0" w:type="dxa"/>
            <w:bottom w:w="0" w:type="dxa"/>
            <w:right w:w="0" w:type="dxa"/>
          </w:tblCellMar>
        </w:tblPrEx>
        <w:trPr>
          <w:trHeight w:val="175" w:hRule="atLeast"/>
        </w:trPr>
        <w:tc>
          <w:tcPr>
            <w:tcW w:w="896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XS2:KIO02-01C</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序号</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定义</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引脚功能描述</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序号</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定义</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引脚功能描述</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COM3+(D013)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SDO1A</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14</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(110)D012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DO通道12</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(110)D014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SDO2B</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15</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DI通道15</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COM4+(D014)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SDO2A</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16</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NC</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4</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(110)D015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SDO3B</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17</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CI2-</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5</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COM5+(D015)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SDO3A</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18</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CI1-</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6</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(110)D016</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SDO4B</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19</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5VOUT_GND</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5V输出负</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7</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COM6+(D016)</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SDO4A</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20</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(110)DO11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DO通道11</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8</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(110)D013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highlight w:val="yellow"/>
              </w:rPr>
            </w:pPr>
            <w:r>
              <w:rPr>
                <w:rFonts w:hint="eastAsia"/>
                <w:highlight w:val="yellow"/>
              </w:rPr>
              <w:t>SDO1B</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21</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(24)IN14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DI通道14</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9</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(24)IN20</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DI通道20</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22</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(24)IN21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DI通道21</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10</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NC</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23</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NC</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NC</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CI2+</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12</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NC</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25</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CI1+</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NC</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26</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5VOUT</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5V输出正</w:t>
            </w:r>
          </w:p>
        </w:tc>
      </w:tr>
      <w:tr>
        <w:tblPrEx>
          <w:tblLayout w:type="fixed"/>
          <w:tblCellMar>
            <w:top w:w="0" w:type="dxa"/>
            <w:left w:w="0" w:type="dxa"/>
            <w:bottom w:w="0" w:type="dxa"/>
            <w:right w:w="0" w:type="dxa"/>
          </w:tblCellMar>
        </w:tblPrEx>
        <w:trPr>
          <w:trHeight w:val="123" w:hRule="atLeast"/>
        </w:trPr>
        <w:tc>
          <w:tcPr>
            <w:tcW w:w="826"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1493"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220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827"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139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220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r>
      <w:tr>
        <w:tblPrEx>
          <w:tblLayout w:type="fixed"/>
          <w:tblCellMar>
            <w:top w:w="0" w:type="dxa"/>
            <w:left w:w="0" w:type="dxa"/>
            <w:bottom w:w="0" w:type="dxa"/>
            <w:right w:w="0" w:type="dxa"/>
          </w:tblCellMar>
        </w:tblPrEx>
        <w:trPr>
          <w:trHeight w:val="175" w:hRule="atLeast"/>
        </w:trPr>
        <w:tc>
          <w:tcPr>
            <w:tcW w:w="896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XS3:KIO02-01C</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序号</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定义</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引脚功能描述</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序号</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定义</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引脚功能描述</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18</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AV4-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CV4-</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19</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AV3-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CV3-</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CR4-</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20</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AV2-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CV2-</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4</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CR3-</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21</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AV1-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CV1-</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5</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NTC6-</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CR6-</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22</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CI5-</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6</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23</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CI4-</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7</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RS485通讯线B</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CI3-</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8</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SWDIO</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SWD接口数据</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25</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SWD-3.3V</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SWD接口3.3V输入</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9</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SWCLK</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SWD接口时钟</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26</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AV4+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CV4+</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10</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CR2+</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27</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AV3+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CV3+</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CR1+</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28</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AV2+</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CV2+</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12</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CR4+</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29</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AV1+</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CV1+</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CR3+</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30</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CI5+</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14</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NTC6+</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CR6+</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31</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AI4+</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CI4+</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15</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NTC5+</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CR5+</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32</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AI3+</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CI3+</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16</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RS485通讯线A</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33</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ADD-SS</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RS485编址输入负</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17</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SWDGND</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SWD接口GND</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34</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ADD-IN</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RS485编址输入正</w:t>
            </w:r>
          </w:p>
        </w:tc>
      </w:tr>
      <w:tr>
        <w:tblPrEx>
          <w:tblLayout w:type="fixed"/>
          <w:tblCellMar>
            <w:top w:w="0" w:type="dxa"/>
            <w:left w:w="0" w:type="dxa"/>
            <w:bottom w:w="0" w:type="dxa"/>
            <w:right w:w="0" w:type="dxa"/>
          </w:tblCellMar>
        </w:tblPrEx>
        <w:trPr>
          <w:trHeight w:val="123" w:hRule="atLeast"/>
        </w:trPr>
        <w:tc>
          <w:tcPr>
            <w:tcW w:w="826"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1493"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220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827"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139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c>
          <w:tcPr>
            <w:tcW w:w="2208" w:type="dxa"/>
            <w:tcBorders>
              <w:top w:val="nil"/>
              <w:left w:val="nil"/>
              <w:bottom w:val="nil"/>
              <w:right w:val="nil"/>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p>
        </w:tc>
      </w:tr>
      <w:tr>
        <w:tblPrEx>
          <w:tblLayout w:type="fixed"/>
          <w:tblCellMar>
            <w:top w:w="0" w:type="dxa"/>
            <w:left w:w="0" w:type="dxa"/>
            <w:bottom w:w="0" w:type="dxa"/>
            <w:right w:w="0" w:type="dxa"/>
          </w:tblCellMar>
        </w:tblPrEx>
        <w:trPr>
          <w:trHeight w:val="175" w:hRule="atLeast"/>
        </w:trPr>
        <w:tc>
          <w:tcPr>
            <w:tcW w:w="896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XS4:KIO02-01C</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序号</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定义</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引脚功能描述</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序号</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定义</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引脚功能描述</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24VGND</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RS485编址输出地</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14</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电子膨胀阀线圈A+相</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电子膨胀阀线圈A+相</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15</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电子膨胀阀线圈A-相</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电子膨胀阀线圈A-相</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16</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电子膨胀阀线圈B+相</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4</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电子膨胀阀线圈B+相</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17</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电子膨胀阀线圈B-相</w:t>
            </w:r>
          </w:p>
        </w:tc>
      </w:tr>
      <w:tr>
        <w:tblPrEx>
          <w:tblLayout w:type="fixed"/>
          <w:tblCellMar>
            <w:top w:w="0" w:type="dxa"/>
            <w:left w:w="0" w:type="dxa"/>
            <w:bottom w:w="0" w:type="dxa"/>
            <w:right w:w="0" w:type="dxa"/>
          </w:tblCellMar>
        </w:tblPrEx>
        <w:trPr>
          <w:trHeight w:val="329"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5</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电子膨胀阀线圈B-相</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18</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EEV2-12V</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电子膨胀阀线圈公共端电源，12Vdc+</w:t>
            </w:r>
          </w:p>
        </w:tc>
      </w:tr>
      <w:tr>
        <w:tblPrEx>
          <w:tblLayout w:type="fixed"/>
          <w:tblCellMar>
            <w:top w:w="0" w:type="dxa"/>
            <w:left w:w="0" w:type="dxa"/>
            <w:bottom w:w="0" w:type="dxa"/>
            <w:right w:w="0" w:type="dxa"/>
          </w:tblCellMar>
        </w:tblPrEx>
        <w:trPr>
          <w:trHeight w:val="329"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6</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EEV1-12V</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电子膨胀阀线圈公共端电源，12Vdc+</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19</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NC</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7</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DC24V+</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24V电源正</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20</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RS485D-OUT</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RS485编制24V输出</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8</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电子膨胀阀线圈A+相</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21</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电子膨胀阀线圈A+相</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9</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电子膨胀阀线圈A-相</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22</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EEV2-A-</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电子膨胀阀线圈A-相</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10</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电子膨胀阀线圈B+相</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23</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电子膨胀阀线圈B+相</w:t>
            </w:r>
          </w:p>
        </w:tc>
      </w:tr>
      <w:tr>
        <w:tblPrEx>
          <w:tblLayout w:type="fixed"/>
          <w:tblCellMar>
            <w:top w:w="0" w:type="dxa"/>
            <w:left w:w="0" w:type="dxa"/>
            <w:bottom w:w="0" w:type="dxa"/>
            <w:right w:w="0" w:type="dxa"/>
          </w:tblCellMar>
        </w:tblPrEx>
        <w:trPr>
          <w:trHeight w:val="175"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11</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电子膨胀阀线圈B-相</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EEV2-B-</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电子膨胀阀线圈B-相</w:t>
            </w:r>
          </w:p>
        </w:tc>
      </w:tr>
      <w:tr>
        <w:tblPrEx>
          <w:tblLayout w:type="fixed"/>
          <w:tblCellMar>
            <w:top w:w="0" w:type="dxa"/>
            <w:left w:w="0" w:type="dxa"/>
            <w:bottom w:w="0" w:type="dxa"/>
            <w:right w:w="0" w:type="dxa"/>
          </w:tblCellMar>
        </w:tblPrEx>
        <w:trPr>
          <w:trHeight w:val="329"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12</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EEV1-12V</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电子膨胀阀线圈公共端电源，12Vdc+</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25</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EEV2-12V</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电子膨胀阀线圈公共端电源，12Vdc+</w:t>
            </w:r>
          </w:p>
        </w:tc>
      </w:tr>
      <w:tr>
        <w:tblPrEx>
          <w:tblLayout w:type="fixed"/>
          <w:tblCellMar>
            <w:top w:w="0" w:type="dxa"/>
            <w:left w:w="0" w:type="dxa"/>
            <w:bottom w:w="0" w:type="dxa"/>
            <w:right w:w="0" w:type="dxa"/>
          </w:tblCellMar>
        </w:tblPrEx>
        <w:trPr>
          <w:trHeight w:val="184" w:hRule="atLeast"/>
        </w:trPr>
        <w:tc>
          <w:tcPr>
            <w:tcW w:w="8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13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DC24V-</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24V电源负</w:t>
            </w:r>
          </w:p>
        </w:tc>
        <w:tc>
          <w:tcPr>
            <w:tcW w:w="8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26</w:t>
            </w:r>
          </w:p>
        </w:tc>
        <w:tc>
          <w:tcPr>
            <w:tcW w:w="13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CHSIS-GND</w:t>
            </w:r>
          </w:p>
        </w:tc>
        <w:tc>
          <w:tcPr>
            <w:tcW w:w="2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56"/>
              <w:keepNext w:val="0"/>
              <w:keepLines w:val="0"/>
              <w:widowControl/>
              <w:suppressLineNumbers w:val="0"/>
              <w:spacing w:beforeAutospacing="0" w:after="0" w:afterAutospacing="0"/>
              <w:ind w:left="0" w:right="0"/>
              <w:rPr>
                <w:rFonts w:hint="default"/>
              </w:rPr>
            </w:pPr>
            <w:r>
              <w:rPr>
                <w:rFonts w:hint="eastAsia"/>
              </w:rPr>
              <w:t>接大地PE</w:t>
            </w:r>
          </w:p>
        </w:tc>
      </w:tr>
    </w:tbl>
    <w:p>
      <w:pPr>
        <w:ind w:firstLine="480"/>
      </w:pPr>
    </w:p>
    <w:p>
      <w:pPr>
        <w:pStyle w:val="29"/>
        <w:adjustRightInd w:val="0"/>
        <w:spacing w:after="312"/>
        <w:jc w:val="center"/>
        <w:outlineLvl w:val="0"/>
        <w:rPr>
          <w:rFonts w:ascii="Arial" w:hAnsi="Arial" w:cs="Arial"/>
          <w:b/>
          <w:bCs/>
          <w:sz w:val="32"/>
        </w:rPr>
      </w:pPr>
    </w:p>
    <w:tbl>
      <w:tblPr>
        <w:tblStyle w:val="60"/>
        <w:tblpPr w:leftFromText="180" w:rightFromText="180" w:vertAnchor="text" w:horzAnchor="margin" w:tblpY="103"/>
        <w:tblW w:w="9039" w:type="dxa"/>
        <w:tblInd w:w="0" w:type="dxa"/>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
      <w:tblGrid>
        <w:gridCol w:w="2461"/>
        <w:gridCol w:w="1900"/>
        <w:gridCol w:w="283"/>
        <w:gridCol w:w="2062"/>
        <w:gridCol w:w="94"/>
        <w:gridCol w:w="679"/>
        <w:gridCol w:w="1560"/>
      </w:tblGrid>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4820" w:hRule="exact"/>
        </w:trPr>
        <w:tc>
          <w:tcPr>
            <w:tcW w:w="9039" w:type="dxa"/>
            <w:gridSpan w:val="7"/>
            <w:tcBorders>
              <w:bottom w:val="single" w:color="auto" w:sz="12" w:space="0"/>
            </w:tcBorders>
            <w:shd w:val="clear" w:color="auto" w:fill="auto"/>
            <w:vAlign w:val="center"/>
          </w:tcPr>
          <w:p>
            <w:pPr>
              <w:keepNext w:val="0"/>
              <w:keepLines w:val="0"/>
              <w:suppressLineNumbers w:val="0"/>
              <w:spacing w:before="240" w:beforeLines="100" w:beforeAutospacing="0" w:after="0" w:afterAutospacing="0" w:line="360" w:lineRule="auto"/>
              <w:ind w:left="0" w:right="0" w:firstLine="2880" w:firstLineChars="800"/>
              <w:rPr>
                <w:rFonts w:hint="default" w:ascii="黑体" w:hAnsi="黑体" w:eastAsia="黑体"/>
                <w:sz w:val="36"/>
                <w:szCs w:val="36"/>
              </w:rPr>
            </w:pPr>
            <w:r>
              <w:rPr>
                <w:rFonts w:hint="default" w:ascii="黑体" w:hAnsi="黑体" w:eastAsia="黑体"/>
                <w:sz w:val="36"/>
                <w:szCs w:val="36"/>
              </w:rPr>
              <w:t>KIO0</w:t>
            </w:r>
            <w:r>
              <w:rPr>
                <w:rFonts w:hint="eastAsia" w:ascii="黑体" w:hAnsi="黑体" w:eastAsia="黑体"/>
                <w:sz w:val="36"/>
                <w:szCs w:val="36"/>
              </w:rPr>
              <w:t>4</w:t>
            </w:r>
            <w:r>
              <w:rPr>
                <w:rFonts w:hint="default" w:ascii="黑体" w:hAnsi="黑体" w:eastAsia="黑体"/>
                <w:sz w:val="36"/>
                <w:szCs w:val="36"/>
              </w:rPr>
              <w:t>-01型</w:t>
            </w:r>
            <w:r>
              <w:rPr>
                <w:rFonts w:hint="eastAsia" w:ascii="黑体" w:hAnsi="黑体" w:eastAsia="黑体"/>
                <w:sz w:val="36"/>
                <w:szCs w:val="36"/>
              </w:rPr>
              <w:t>IO模块</w:t>
            </w:r>
          </w:p>
          <w:p>
            <w:pPr>
              <w:keepNext w:val="0"/>
              <w:keepLines w:val="0"/>
              <w:suppressLineNumbers w:val="0"/>
              <w:spacing w:before="240" w:beforeLines="100" w:beforeAutospacing="0" w:after="0" w:afterAutospacing="0" w:line="360" w:lineRule="auto"/>
              <w:ind w:left="0" w:right="0"/>
              <w:jc w:val="center"/>
              <w:rPr>
                <w:rFonts w:hint="default" w:ascii="黑体" w:hAnsi="黑体" w:eastAsia="黑体"/>
                <w:sz w:val="36"/>
                <w:szCs w:val="36"/>
              </w:rPr>
            </w:pPr>
            <w:r>
              <w:rPr>
                <w:rFonts w:hint="default" w:ascii="黑体" w:hAnsi="黑体" w:eastAsia="黑体"/>
                <w:sz w:val="36"/>
                <w:szCs w:val="36"/>
              </w:rPr>
              <w:t>技术条件</w:t>
            </w:r>
          </w:p>
          <w:p>
            <w:pPr>
              <w:keepNext w:val="0"/>
              <w:keepLines w:val="0"/>
              <w:suppressLineNumbers w:val="0"/>
              <w:spacing w:before="240" w:beforeLines="100" w:beforeAutospacing="0" w:after="0" w:afterAutospacing="0" w:line="360" w:lineRule="auto"/>
              <w:ind w:left="0" w:right="0"/>
              <w:jc w:val="center"/>
              <w:rPr>
                <w:rFonts w:hint="default" w:ascii="黑体" w:hAnsi="黑体" w:eastAsia="黑体"/>
                <w:sz w:val="36"/>
                <w:szCs w:val="36"/>
              </w:rPr>
            </w:pPr>
            <w:r>
              <w:rPr>
                <w:rFonts w:hint="eastAsia" w:ascii="黑体" w:hAnsi="黑体" w:eastAsia="黑体"/>
                <w:sz w:val="36"/>
                <w:szCs w:val="36"/>
              </w:rPr>
              <w:t>TR001260</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2461" w:type="dxa"/>
            <w:tcBorders>
              <w:top w:val="single" w:color="auto" w:sz="12"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Arial" w:hAnsi="Arial" w:cs="Arial"/>
                <w:b/>
                <w:sz w:val="21"/>
                <w:szCs w:val="21"/>
              </w:rPr>
            </w:pPr>
            <w:r>
              <w:rPr>
                <w:rFonts w:hint="default" w:ascii="Arial" w:hAnsi="Arial" w:cs="Arial"/>
                <w:b/>
                <w:sz w:val="21"/>
                <w:szCs w:val="21"/>
              </w:rPr>
              <w:t>所属部门</w:t>
            </w:r>
          </w:p>
          <w:p>
            <w:pPr>
              <w:keepNext w:val="0"/>
              <w:keepLines w:val="0"/>
              <w:suppressLineNumbers w:val="0"/>
              <w:spacing w:before="0" w:beforeAutospacing="0" w:after="0" w:afterAutospacing="0"/>
              <w:ind w:left="0" w:right="0"/>
              <w:jc w:val="center"/>
              <w:rPr>
                <w:rFonts w:hint="default" w:ascii="Arial" w:hAnsi="Arial" w:cs="Arial"/>
                <w:b/>
                <w:sz w:val="21"/>
                <w:szCs w:val="21"/>
              </w:rPr>
            </w:pPr>
            <w:r>
              <w:rPr>
                <w:rFonts w:hint="default" w:ascii="Arial" w:hAnsi="Arial" w:cs="Arial"/>
                <w:b/>
                <w:sz w:val="21"/>
                <w:szCs w:val="21"/>
              </w:rPr>
              <w:t xml:space="preserve">Responsible </w:t>
            </w:r>
            <w:r>
              <w:rPr>
                <w:rFonts w:hint="eastAsia" w:ascii="Arial" w:hAnsi="Arial" w:cs="Arial"/>
                <w:b/>
                <w:sz w:val="21"/>
                <w:szCs w:val="21"/>
              </w:rPr>
              <w:t>D</w:t>
            </w:r>
            <w:r>
              <w:rPr>
                <w:rFonts w:hint="default" w:ascii="Arial" w:hAnsi="Arial" w:cs="Arial"/>
                <w:b/>
                <w:sz w:val="21"/>
                <w:szCs w:val="21"/>
              </w:rPr>
              <w:t>ivision</w:t>
            </w:r>
          </w:p>
        </w:tc>
        <w:tc>
          <w:tcPr>
            <w:tcW w:w="2183"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Arial" w:hAnsi="Arial" w:cs="Arial"/>
                <w:b/>
                <w:sz w:val="21"/>
                <w:szCs w:val="21"/>
              </w:rPr>
            </w:pPr>
            <w:r>
              <w:rPr>
                <w:rFonts w:hint="default" w:ascii="Arial" w:hAnsi="Arial" w:cs="Arial"/>
                <w:b/>
                <w:sz w:val="21"/>
                <w:szCs w:val="21"/>
              </w:rPr>
              <w:t>文件类型</w:t>
            </w:r>
          </w:p>
          <w:p>
            <w:pPr>
              <w:keepNext w:val="0"/>
              <w:keepLines w:val="0"/>
              <w:suppressLineNumbers w:val="0"/>
              <w:spacing w:before="0" w:beforeAutospacing="0" w:after="0" w:afterAutospacing="0"/>
              <w:ind w:left="0" w:right="0"/>
              <w:jc w:val="center"/>
              <w:rPr>
                <w:rFonts w:hint="default" w:ascii="Arial" w:hAnsi="Arial" w:cs="Arial"/>
                <w:b/>
                <w:sz w:val="21"/>
                <w:szCs w:val="21"/>
              </w:rPr>
            </w:pPr>
            <w:r>
              <w:rPr>
                <w:rFonts w:hint="default" w:ascii="Arial" w:hAnsi="Arial" w:cs="Arial"/>
                <w:b/>
                <w:sz w:val="21"/>
                <w:szCs w:val="21"/>
              </w:rPr>
              <w:t>Document Type</w:t>
            </w:r>
          </w:p>
        </w:tc>
        <w:tc>
          <w:tcPr>
            <w:tcW w:w="2156" w:type="dxa"/>
            <w:gridSpan w:val="2"/>
            <w:tcBorders>
              <w:top w:val="single" w:color="auto" w:sz="12"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Arial" w:hAnsi="Arial" w:cs="Arial"/>
                <w:b/>
                <w:sz w:val="21"/>
                <w:szCs w:val="21"/>
              </w:rPr>
            </w:pPr>
            <w:r>
              <w:rPr>
                <w:rFonts w:hint="default" w:ascii="Arial" w:hAnsi="Arial" w:cs="Arial"/>
                <w:b/>
                <w:sz w:val="21"/>
                <w:szCs w:val="21"/>
              </w:rPr>
              <w:t>CP编号</w:t>
            </w:r>
          </w:p>
          <w:p>
            <w:pPr>
              <w:keepNext w:val="0"/>
              <w:keepLines w:val="0"/>
              <w:suppressLineNumbers w:val="0"/>
              <w:spacing w:before="0" w:beforeAutospacing="0" w:after="0" w:afterAutospacing="0"/>
              <w:ind w:left="0" w:right="0"/>
              <w:jc w:val="center"/>
              <w:rPr>
                <w:rFonts w:hint="default" w:ascii="Arial" w:hAnsi="Arial" w:cs="Arial"/>
                <w:b/>
                <w:sz w:val="21"/>
                <w:szCs w:val="21"/>
              </w:rPr>
            </w:pPr>
            <w:r>
              <w:rPr>
                <w:rFonts w:hint="default" w:ascii="Arial" w:hAnsi="Arial" w:cs="Arial"/>
                <w:b/>
                <w:sz w:val="21"/>
                <w:szCs w:val="21"/>
              </w:rPr>
              <w:t>CP Number</w:t>
            </w:r>
          </w:p>
        </w:tc>
        <w:tc>
          <w:tcPr>
            <w:tcW w:w="2239" w:type="dxa"/>
            <w:gridSpan w:val="2"/>
            <w:tcBorders>
              <w:top w:val="single" w:color="auto" w:sz="12" w:space="0"/>
              <w:left w:val="single" w:color="auto" w:sz="4" w:space="0"/>
              <w:bottom w:val="single" w:color="auto" w:sz="8"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Arial" w:hAnsi="Arial" w:cs="Arial"/>
                <w:b/>
                <w:sz w:val="21"/>
                <w:szCs w:val="21"/>
              </w:rPr>
            </w:pPr>
            <w:r>
              <w:rPr>
                <w:rFonts w:hint="default" w:ascii="Arial" w:hAnsi="Arial" w:cs="Arial"/>
                <w:b/>
                <w:sz w:val="21"/>
                <w:szCs w:val="21"/>
              </w:rPr>
              <w:t>项目代号</w:t>
            </w:r>
          </w:p>
          <w:p>
            <w:pPr>
              <w:keepNext w:val="0"/>
              <w:keepLines w:val="0"/>
              <w:suppressLineNumbers w:val="0"/>
              <w:spacing w:before="0" w:beforeAutospacing="0" w:after="0" w:afterAutospacing="0"/>
              <w:ind w:left="0" w:right="0"/>
              <w:jc w:val="center"/>
              <w:rPr>
                <w:rFonts w:hint="default" w:ascii="Arial" w:hAnsi="Arial" w:cs="Arial"/>
                <w:b/>
                <w:sz w:val="21"/>
                <w:szCs w:val="21"/>
              </w:rPr>
            </w:pPr>
            <w:r>
              <w:rPr>
                <w:rFonts w:hint="default" w:ascii="Arial" w:hAnsi="Arial" w:cs="Arial"/>
                <w:b/>
                <w:sz w:val="21"/>
                <w:szCs w:val="21"/>
              </w:rPr>
              <w:t>Project Number</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2461" w:type="dxa"/>
            <w:tcBorders>
              <w:top w:val="single" w:color="auto" w:sz="8"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Arial" w:hAnsi="Arial" w:cs="Arial"/>
                <w:sz w:val="21"/>
                <w:szCs w:val="21"/>
              </w:rPr>
            </w:pPr>
            <w:r>
              <w:rPr>
                <w:rFonts w:hint="default" w:ascii="Arial" w:hAnsi="Arial" w:cs="Arial"/>
                <w:sz w:val="21"/>
                <w:szCs w:val="21"/>
              </w:rPr>
              <w:t>技术中心</w:t>
            </w:r>
          </w:p>
          <w:p>
            <w:pPr>
              <w:keepNext w:val="0"/>
              <w:keepLines w:val="0"/>
              <w:suppressLineNumbers w:val="0"/>
              <w:spacing w:before="0" w:beforeAutospacing="0" w:after="0" w:afterAutospacing="0"/>
              <w:ind w:left="0" w:right="0"/>
              <w:jc w:val="center"/>
              <w:rPr>
                <w:rFonts w:hint="default" w:ascii="Arial" w:hAnsi="Arial" w:cs="Arial"/>
                <w:sz w:val="21"/>
                <w:szCs w:val="21"/>
              </w:rPr>
            </w:pPr>
            <w:r>
              <w:rPr>
                <w:rFonts w:hint="default" w:ascii="Arial" w:hAnsi="Arial" w:cs="Arial"/>
                <w:bCs/>
                <w:sz w:val="21"/>
                <w:szCs w:val="21"/>
              </w:rPr>
              <w:t>Technical Centre</w:t>
            </w:r>
          </w:p>
        </w:tc>
        <w:tc>
          <w:tcPr>
            <w:tcW w:w="2183" w:type="dxa"/>
            <w:gridSpan w:val="2"/>
            <w:tcBorders>
              <w:top w:val="single" w:color="auto" w:sz="8"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Arial" w:hAnsi="Arial" w:cs="Arial"/>
                <w:sz w:val="21"/>
                <w:szCs w:val="21"/>
              </w:rPr>
            </w:pPr>
            <w:r>
              <w:rPr>
                <w:rFonts w:hint="eastAsia" w:ascii="Arial" w:hAnsi="Arial" w:cs="Arial"/>
                <w:sz w:val="21"/>
                <w:szCs w:val="21"/>
              </w:rPr>
              <w:t>技术条件</w:t>
            </w:r>
          </w:p>
        </w:tc>
        <w:tc>
          <w:tcPr>
            <w:tcW w:w="2156" w:type="dxa"/>
            <w:gridSpan w:val="2"/>
            <w:tcBorders>
              <w:top w:val="single" w:color="auto" w:sz="8"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Arial" w:hAnsi="Arial" w:cs="Arial"/>
                <w:sz w:val="21"/>
                <w:szCs w:val="21"/>
              </w:rPr>
            </w:pPr>
            <w:r>
              <w:rPr>
                <w:rFonts w:hint="eastAsia" w:ascii="Arial" w:hAnsi="Arial" w:cs="Arial"/>
                <w:sz w:val="21"/>
                <w:szCs w:val="21"/>
              </w:rPr>
              <w:t>/</w:t>
            </w:r>
          </w:p>
        </w:tc>
        <w:tc>
          <w:tcPr>
            <w:tcW w:w="2239" w:type="dxa"/>
            <w:gridSpan w:val="2"/>
            <w:tcBorders>
              <w:top w:val="single" w:color="auto" w:sz="8"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Arial" w:hAnsi="Arial" w:cs="Arial"/>
                <w:sz w:val="21"/>
                <w:szCs w:val="21"/>
              </w:rPr>
            </w:pPr>
            <w:r>
              <w:rPr>
                <w:rFonts w:hint="eastAsia" w:ascii="Arial" w:hAnsi="Arial" w:cs="Arial"/>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4526" w:hRule="atLeast"/>
        </w:trPr>
        <w:tc>
          <w:tcPr>
            <w:tcW w:w="9039" w:type="dxa"/>
            <w:gridSpan w:val="7"/>
            <w:tcBorders>
              <w:top w:val="single" w:color="auto" w:sz="12" w:space="0"/>
              <w:bottom w:val="single" w:color="auto" w:sz="12" w:space="0"/>
            </w:tcBorders>
            <w:shd w:val="clear" w:color="auto" w:fill="auto"/>
          </w:tcPr>
          <w:p>
            <w:pPr>
              <w:keepNext w:val="0"/>
              <w:keepLines w:val="0"/>
              <w:suppressLineNumbers w:val="0"/>
              <w:spacing w:before="0" w:beforeAutospacing="0" w:after="0" w:afterAutospacing="0" w:line="320" w:lineRule="exact"/>
              <w:ind w:left="0" w:right="0"/>
              <w:jc w:val="left"/>
              <w:rPr>
                <w:rFonts w:hint="default"/>
                <w:b/>
                <w:szCs w:val="20"/>
              </w:rPr>
            </w:pPr>
          </w:p>
          <w:p>
            <w:pPr>
              <w:keepNext w:val="0"/>
              <w:keepLines w:val="0"/>
              <w:suppressLineNumbers w:val="0"/>
              <w:spacing w:before="0" w:beforeAutospacing="0" w:after="0" w:afterAutospacing="0" w:line="320" w:lineRule="exact"/>
              <w:ind w:left="0" w:right="0"/>
              <w:jc w:val="left"/>
              <w:rPr>
                <w:rFonts w:hint="default"/>
                <w:b/>
                <w:szCs w:val="20"/>
              </w:rPr>
            </w:pPr>
            <w:r>
              <w:rPr>
                <w:rFonts w:hint="default" w:ascii="Calibri" w:hAnsi="Calibri"/>
                <w:b/>
                <w:sz w:val="24"/>
                <w:szCs w:val="20"/>
              </w:rPr>
              <w:t xml:space="preserve">                                                    </w:t>
            </w:r>
          </w:p>
          <w:p>
            <w:pPr>
              <w:keepNext w:val="0"/>
              <w:keepLines w:val="0"/>
              <w:suppressLineNumbers w:val="0"/>
              <w:spacing w:before="0" w:beforeAutospacing="0" w:after="0" w:afterAutospacing="0" w:line="320" w:lineRule="exact"/>
              <w:ind w:left="0" w:right="0"/>
              <w:jc w:val="left"/>
              <w:rPr>
                <w:rFonts w:hint="default"/>
                <w:b/>
                <w:szCs w:val="20"/>
              </w:rPr>
            </w:pPr>
            <w:r>
              <w:rPr>
                <w:rFonts w:hint="eastAsia" w:ascii="宋体" w:hAnsi="宋体"/>
                <w:b/>
                <w:sz w:val="21"/>
                <w:szCs w:val="21"/>
              </w:rPr>
              <w:t>编制</w:t>
            </w:r>
            <w:r>
              <w:rPr>
                <w:rFonts w:hint="default" w:ascii="Arial" w:hAnsi="Arial" w:cs="Arial"/>
                <w:b/>
                <w:sz w:val="21"/>
                <w:szCs w:val="21"/>
              </w:rPr>
              <w:t>Written by</w:t>
            </w:r>
            <w:r>
              <w:rPr>
                <w:rFonts w:hint="eastAsia" w:ascii="Calibri" w:hAnsi="Calibri"/>
                <w:b/>
                <w:sz w:val="21"/>
                <w:szCs w:val="21"/>
              </w:rPr>
              <w:t>：</w:t>
            </w:r>
            <w:r>
              <w:rPr>
                <w:rFonts w:hint="eastAsia"/>
                <w:b/>
                <w:szCs w:val="20"/>
              </w:rPr>
              <w:t xml:space="preserve">     </w:t>
            </w:r>
            <w:r>
              <w:rPr>
                <w:rFonts w:hint="eastAsia"/>
                <w:szCs w:val="20"/>
                <w:u w:val="single"/>
              </w:rPr>
              <w:t xml:space="preserve">                      </w:t>
            </w:r>
            <w:r>
              <w:rPr>
                <w:rFonts w:hint="eastAsia"/>
                <w:b/>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jc w:val="left"/>
              <w:rPr>
                <w:rFonts w:hint="default"/>
                <w:b/>
                <w:szCs w:val="20"/>
              </w:rPr>
            </w:pPr>
          </w:p>
          <w:p>
            <w:pPr>
              <w:keepNext w:val="0"/>
              <w:keepLines w:val="0"/>
              <w:suppressLineNumbers w:val="0"/>
              <w:spacing w:before="0" w:beforeAutospacing="0" w:after="0" w:afterAutospacing="0" w:line="320" w:lineRule="exact"/>
              <w:ind w:left="0" w:right="0"/>
              <w:jc w:val="left"/>
              <w:rPr>
                <w:rFonts w:hint="default"/>
                <w:b/>
                <w:szCs w:val="20"/>
              </w:rPr>
            </w:pPr>
          </w:p>
          <w:p>
            <w:pPr>
              <w:keepNext w:val="0"/>
              <w:keepLines w:val="0"/>
              <w:suppressLineNumbers w:val="0"/>
              <w:spacing w:before="0" w:beforeAutospacing="0" w:after="0" w:afterAutospacing="0" w:line="320" w:lineRule="exact"/>
              <w:ind w:left="0" w:right="0"/>
              <w:jc w:val="left"/>
              <w:rPr>
                <w:rFonts w:hint="default"/>
                <w:b/>
                <w:szCs w:val="20"/>
              </w:rPr>
            </w:pPr>
            <w:r>
              <w:rPr>
                <w:rFonts w:hint="eastAsia"/>
                <w:b/>
                <w:szCs w:val="20"/>
              </w:rPr>
              <w:t xml:space="preserve">                                            </w:t>
            </w:r>
          </w:p>
          <w:p>
            <w:pPr>
              <w:keepNext w:val="0"/>
              <w:keepLines w:val="0"/>
              <w:suppressLineNumbers w:val="0"/>
              <w:spacing w:before="0" w:beforeAutospacing="0" w:after="0" w:afterAutospacing="0" w:line="320" w:lineRule="exact"/>
              <w:ind w:left="0" w:right="0"/>
              <w:jc w:val="left"/>
              <w:rPr>
                <w:rFonts w:hint="default"/>
                <w:szCs w:val="20"/>
              </w:rPr>
            </w:pPr>
            <w:r>
              <w:rPr>
                <w:rFonts w:hint="eastAsia" w:ascii="宋体" w:hAnsi="宋体"/>
                <w:b/>
                <w:sz w:val="21"/>
                <w:szCs w:val="21"/>
              </w:rPr>
              <w:t>校对</w:t>
            </w:r>
            <w:r>
              <w:rPr>
                <w:rFonts w:hint="default" w:ascii="Arial" w:hAnsi="Arial" w:cs="Arial"/>
                <w:b/>
                <w:sz w:val="21"/>
                <w:szCs w:val="21"/>
              </w:rPr>
              <w:t>Checked by</w:t>
            </w:r>
            <w:r>
              <w:rPr>
                <w:rFonts w:hint="eastAsia" w:ascii="Calibri" w:hAnsi="Calibri"/>
                <w:b/>
                <w:sz w:val="21"/>
                <w:szCs w:val="21"/>
              </w:rPr>
              <w:t>：</w:t>
            </w:r>
            <w:r>
              <w:rPr>
                <w:rFonts w:hint="eastAsia"/>
                <w:b/>
                <w:szCs w:val="20"/>
              </w:rPr>
              <w:t xml:space="preserve">    </w:t>
            </w:r>
            <w:r>
              <w:rPr>
                <w:rFonts w:hint="eastAsia"/>
                <w:szCs w:val="20"/>
                <w:u w:val="single"/>
              </w:rPr>
              <w:t xml:space="preserve">                      </w:t>
            </w:r>
            <w:r>
              <w:rPr>
                <w:rFonts w:hint="eastAsia"/>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jc w:val="left"/>
              <w:rPr>
                <w:rFonts w:hint="default"/>
                <w:b/>
                <w:szCs w:val="20"/>
              </w:rPr>
            </w:pPr>
          </w:p>
          <w:p>
            <w:pPr>
              <w:keepNext w:val="0"/>
              <w:keepLines w:val="0"/>
              <w:suppressLineNumbers w:val="0"/>
              <w:spacing w:before="0" w:beforeAutospacing="0" w:after="0" w:afterAutospacing="0" w:line="320" w:lineRule="exact"/>
              <w:ind w:left="0" w:right="0"/>
              <w:jc w:val="left"/>
              <w:rPr>
                <w:rFonts w:hint="default"/>
                <w:b/>
                <w:szCs w:val="20"/>
              </w:rPr>
            </w:pPr>
          </w:p>
          <w:p>
            <w:pPr>
              <w:keepNext w:val="0"/>
              <w:keepLines w:val="0"/>
              <w:suppressLineNumbers w:val="0"/>
              <w:spacing w:before="0" w:beforeAutospacing="0" w:after="0" w:afterAutospacing="0" w:line="320" w:lineRule="exact"/>
              <w:ind w:left="0" w:right="0"/>
              <w:jc w:val="left"/>
              <w:rPr>
                <w:rFonts w:hint="default"/>
                <w:b/>
                <w:szCs w:val="20"/>
              </w:rPr>
            </w:pPr>
            <w:r>
              <w:rPr>
                <w:rFonts w:hint="eastAsia"/>
                <w:b/>
                <w:szCs w:val="20"/>
              </w:rPr>
              <w:t xml:space="preserve">                                            </w:t>
            </w:r>
          </w:p>
          <w:p>
            <w:pPr>
              <w:keepNext w:val="0"/>
              <w:keepLines w:val="0"/>
              <w:suppressLineNumbers w:val="0"/>
              <w:spacing w:before="0" w:beforeAutospacing="0" w:after="0" w:afterAutospacing="0" w:line="320" w:lineRule="exact"/>
              <w:ind w:left="0" w:right="0"/>
              <w:jc w:val="left"/>
              <w:rPr>
                <w:rFonts w:hint="default"/>
                <w:b/>
                <w:szCs w:val="20"/>
                <w:u w:val="single"/>
              </w:rPr>
            </w:pPr>
            <w:r>
              <w:rPr>
                <w:rFonts w:hint="eastAsia" w:ascii="宋体" w:hAnsi="宋体"/>
                <w:b/>
                <w:sz w:val="21"/>
                <w:szCs w:val="21"/>
              </w:rPr>
              <w:t>审核</w:t>
            </w:r>
            <w:r>
              <w:rPr>
                <w:rFonts w:hint="eastAsia" w:ascii="Arial" w:hAnsi="Arial" w:cs="Arial"/>
                <w:b/>
                <w:sz w:val="21"/>
                <w:szCs w:val="21"/>
              </w:rPr>
              <w:t>Reviewed by</w:t>
            </w:r>
            <w:r>
              <w:rPr>
                <w:rFonts w:hint="eastAsia" w:ascii="Calibri" w:hAnsi="Calibri"/>
                <w:b/>
                <w:sz w:val="21"/>
                <w:szCs w:val="21"/>
              </w:rPr>
              <w:t>：</w:t>
            </w:r>
            <w:r>
              <w:rPr>
                <w:rFonts w:hint="eastAsia"/>
                <w:b/>
                <w:szCs w:val="20"/>
              </w:rPr>
              <w:t xml:space="preserve">   </w:t>
            </w:r>
            <w:r>
              <w:rPr>
                <w:rFonts w:hint="eastAsia"/>
                <w:szCs w:val="20"/>
                <w:u w:val="single"/>
              </w:rPr>
              <w:t xml:space="preserve">                      </w:t>
            </w:r>
            <w:r>
              <w:rPr>
                <w:rFonts w:hint="eastAsia"/>
                <w:b/>
                <w:szCs w:val="20"/>
              </w:rPr>
              <w:t xml:space="preserve">     </w:t>
            </w:r>
            <w:r>
              <w:rPr>
                <w:rFonts w:hint="eastAsia"/>
                <w:szCs w:val="20"/>
                <w:u w:val="single"/>
              </w:rPr>
              <w:t xml:space="preserve">          </w:t>
            </w:r>
          </w:p>
          <w:p>
            <w:pPr>
              <w:keepNext w:val="0"/>
              <w:keepLines w:val="0"/>
              <w:suppressLineNumbers w:val="0"/>
              <w:spacing w:before="0" w:beforeAutospacing="0" w:after="0" w:afterAutospacing="0" w:line="320" w:lineRule="exact"/>
              <w:ind w:left="0" w:right="0"/>
              <w:jc w:val="left"/>
              <w:rPr>
                <w:rFonts w:hint="default"/>
                <w:b/>
                <w:szCs w:val="20"/>
              </w:rPr>
            </w:pPr>
          </w:p>
          <w:p>
            <w:pPr>
              <w:keepNext w:val="0"/>
              <w:keepLines w:val="0"/>
              <w:suppressLineNumbers w:val="0"/>
              <w:spacing w:before="0" w:beforeAutospacing="0" w:after="0" w:afterAutospacing="0" w:line="320" w:lineRule="exact"/>
              <w:ind w:left="0" w:right="0"/>
              <w:jc w:val="left"/>
              <w:rPr>
                <w:rFonts w:hint="default"/>
                <w:b/>
                <w:szCs w:val="20"/>
              </w:rPr>
            </w:pPr>
          </w:p>
          <w:p>
            <w:pPr>
              <w:keepNext w:val="0"/>
              <w:keepLines w:val="0"/>
              <w:suppressLineNumbers w:val="0"/>
              <w:spacing w:before="0" w:beforeAutospacing="0" w:after="0" w:afterAutospacing="0" w:line="320" w:lineRule="exact"/>
              <w:ind w:left="0" w:right="0"/>
              <w:jc w:val="left"/>
              <w:rPr>
                <w:rFonts w:hint="default"/>
                <w:b/>
                <w:szCs w:val="20"/>
              </w:rPr>
            </w:pPr>
            <w:r>
              <w:rPr>
                <w:rFonts w:hint="eastAsia"/>
                <w:b/>
                <w:szCs w:val="20"/>
              </w:rPr>
              <w:t xml:space="preserve">                                            </w:t>
            </w:r>
          </w:p>
          <w:p>
            <w:pPr>
              <w:keepNext w:val="0"/>
              <w:keepLines w:val="0"/>
              <w:suppressLineNumbers w:val="0"/>
              <w:spacing w:before="0" w:beforeAutospacing="0" w:after="0" w:afterAutospacing="0" w:line="320" w:lineRule="exact"/>
              <w:ind w:left="0" w:right="0"/>
              <w:jc w:val="left"/>
              <w:rPr>
                <w:rFonts w:hint="default"/>
                <w:szCs w:val="20"/>
                <w:u w:val="single"/>
              </w:rPr>
            </w:pPr>
            <w:r>
              <w:rPr>
                <w:rFonts w:hint="eastAsia" w:ascii="宋体" w:hAnsi="宋体"/>
                <w:b/>
                <w:sz w:val="21"/>
                <w:szCs w:val="21"/>
              </w:rPr>
              <w:t>批准</w:t>
            </w:r>
            <w:r>
              <w:rPr>
                <w:rFonts w:hint="eastAsia" w:ascii="Arial" w:hAnsi="Arial" w:cs="Arial"/>
                <w:b/>
                <w:sz w:val="21"/>
                <w:szCs w:val="21"/>
              </w:rPr>
              <w:t>Approved by</w:t>
            </w:r>
            <w:r>
              <w:rPr>
                <w:rFonts w:hint="eastAsia" w:ascii="Calibri" w:hAnsi="Calibri"/>
                <w:b/>
                <w:sz w:val="21"/>
                <w:szCs w:val="21"/>
              </w:rPr>
              <w:t>：</w:t>
            </w:r>
            <w:r>
              <w:rPr>
                <w:rFonts w:hint="eastAsia"/>
                <w:szCs w:val="20"/>
              </w:rPr>
              <w:t xml:space="preserve">   </w:t>
            </w:r>
            <w:r>
              <w:rPr>
                <w:rFonts w:hint="eastAsia"/>
                <w:szCs w:val="20"/>
                <w:u w:val="single"/>
              </w:rPr>
              <w:t xml:space="preserve">                      </w:t>
            </w:r>
            <w:r>
              <w:rPr>
                <w:rFonts w:hint="eastAsia"/>
                <w:szCs w:val="20"/>
              </w:rPr>
              <w:t xml:space="preserve">     </w:t>
            </w:r>
            <w:r>
              <w:rPr>
                <w:rFonts w:hint="eastAsia"/>
                <w:szCs w:val="20"/>
                <w:u w:val="single"/>
              </w:rPr>
              <w:t xml:space="preserve">          </w:t>
            </w:r>
          </w:p>
          <w:p>
            <w:pPr>
              <w:keepNext w:val="0"/>
              <w:keepLines w:val="0"/>
              <w:suppressLineNumbers w:val="0"/>
              <w:spacing w:before="0" w:beforeAutospacing="0" w:after="0" w:afterAutospacing="0" w:line="360" w:lineRule="auto"/>
              <w:ind w:left="0" w:right="0"/>
              <w:jc w:val="left"/>
              <w:rPr>
                <w:rFonts w:hint="default"/>
                <w:szCs w:val="20"/>
              </w:rPr>
            </w:pPr>
            <w:r>
              <w:rPr>
                <w:rFonts w:hint="eastAsia"/>
                <w:szCs w:val="20"/>
              </w:rPr>
              <w:t xml:space="preserve">                       </w:t>
            </w:r>
            <w:r>
              <w:rPr>
                <w:rFonts w:hint="eastAsia" w:ascii="宋体" w:hAnsi="宋体"/>
                <w:sz w:val="21"/>
                <w:szCs w:val="21"/>
              </w:rPr>
              <w:t>签字</w:t>
            </w:r>
            <w:r>
              <w:rPr>
                <w:rFonts w:hint="eastAsia" w:ascii="Calibri" w:hAnsi="Calibri"/>
                <w:sz w:val="21"/>
                <w:szCs w:val="21"/>
              </w:rPr>
              <w:t>（Signature）</w:t>
            </w:r>
            <w:r>
              <w:rPr>
                <w:rFonts w:hint="eastAsia"/>
                <w:szCs w:val="20"/>
              </w:rPr>
              <w:t xml:space="preserve">           </w:t>
            </w:r>
            <w:r>
              <w:rPr>
                <w:rFonts w:hint="eastAsia" w:ascii="宋体" w:hAnsi="宋体"/>
                <w:sz w:val="21"/>
                <w:szCs w:val="21"/>
              </w:rPr>
              <w:t>日期</w:t>
            </w:r>
            <w:r>
              <w:rPr>
                <w:rFonts w:hint="eastAsia" w:ascii="Calibri" w:hAnsi="Calibri"/>
                <w:sz w:val="21"/>
                <w:szCs w:val="21"/>
              </w:rPr>
              <w:t>（Date）</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1030" w:hRule="exact"/>
        </w:trPr>
        <w:tc>
          <w:tcPr>
            <w:tcW w:w="4361" w:type="dxa"/>
            <w:gridSpan w:val="2"/>
            <w:vMerge w:val="restart"/>
            <w:tcBorders>
              <w:top w:val="single" w:color="auto" w:sz="12" w:space="0"/>
              <w:right w:val="single" w:color="auto" w:sz="4" w:space="0"/>
            </w:tcBorders>
            <w:shd w:val="clear" w:color="auto" w:fill="auto"/>
            <w:vAlign w:val="center"/>
          </w:tcPr>
          <w:p>
            <w:pPr>
              <w:pStyle w:val="29"/>
              <w:keepNext w:val="0"/>
              <w:keepLines w:val="0"/>
              <w:suppressLineNumbers w:val="0"/>
              <w:spacing w:before="0" w:beforeAutospacing="0" w:after="0" w:afterAutospacing="0"/>
              <w:ind w:left="0" w:right="0"/>
              <w:jc w:val="both"/>
              <w:rPr>
                <w:rFonts w:hint="default" w:ascii="宋体" w:hAnsi="宋体" w:cs="Arial"/>
                <w:bCs/>
                <w:sz w:val="18"/>
                <w:szCs w:val="20"/>
              </w:rPr>
            </w:pPr>
            <w:r>
              <w:rPr>
                <w:rFonts w:hint="eastAsia" w:ascii="宋体" w:hAnsi="宋体" w:cs="Arial"/>
                <w:sz w:val="18"/>
                <w:szCs w:val="20"/>
              </w:rPr>
              <w:t>本技术资料版权归石家庄国祥运输设备有限公司所有，未经本公司许可，不得向第三方泄漏，不得复制或公开发表。</w:t>
            </w:r>
          </w:p>
          <w:p>
            <w:pPr>
              <w:keepNext w:val="0"/>
              <w:keepLines w:val="0"/>
              <w:suppressLineNumbers w:val="0"/>
              <w:adjustRightInd w:val="0"/>
              <w:snapToGrid w:val="0"/>
              <w:spacing w:before="60" w:beforeAutospacing="0" w:after="0" w:afterAutospacing="0"/>
              <w:ind w:left="0" w:right="0"/>
              <w:rPr>
                <w:rFonts w:hint="default" w:ascii="Calibri" w:hAnsi="Calibri"/>
                <w:sz w:val="18"/>
                <w:szCs w:val="18"/>
              </w:rPr>
            </w:pPr>
            <w:r>
              <w:rPr>
                <w:rFonts w:hint="default" w:ascii="Arial" w:hAnsi="Arial" w:cs="Arial"/>
                <w:sz w:val="16"/>
                <w:szCs w:val="16"/>
              </w:rPr>
              <w:t>This document and its contents are the property of Shijiazhuang KING Transportation Equipment CO., LTD., or its subsidiaries. This document contains confidential proprietary information. The reproduction, distribution, utilization or the communication of this document or any part thereof, without express authorization is strictly prohibited.</w:t>
            </w:r>
          </w:p>
        </w:tc>
        <w:tc>
          <w:tcPr>
            <w:tcW w:w="4678" w:type="dxa"/>
            <w:gridSpan w:val="5"/>
            <w:tcBorders>
              <w:top w:val="single" w:color="auto" w:sz="12" w:space="0"/>
              <w:left w:val="single" w:color="auto" w:sz="4" w:space="0"/>
            </w:tcBorders>
            <w:shd w:val="clear" w:color="auto" w:fill="auto"/>
          </w:tcPr>
          <w:p>
            <w:pPr>
              <w:keepNext w:val="0"/>
              <w:keepLines w:val="0"/>
              <w:suppressLineNumbers w:val="0"/>
              <w:spacing w:before="0" w:beforeAutospacing="0" w:after="0" w:afterAutospacing="0"/>
              <w:ind w:left="0" w:right="0"/>
              <w:jc w:val="left"/>
              <w:rPr>
                <w:rFonts w:hint="default" w:ascii="Calibri" w:hAnsi="Calibri"/>
                <w:b/>
                <w:sz w:val="21"/>
                <w:szCs w:val="21"/>
              </w:rPr>
            </w:pPr>
            <w:r>
              <w:rPr>
                <w:rFonts w:hint="eastAsia" w:ascii="宋体" w:hAnsi="宋体"/>
                <w:b/>
                <w:sz w:val="21"/>
                <w:szCs w:val="21"/>
              </w:rPr>
              <w:t>内部</w:t>
            </w:r>
            <w:r>
              <w:rPr>
                <w:rFonts w:hint="default" w:ascii="宋体" w:hAnsi="宋体"/>
                <w:b/>
                <w:sz w:val="21"/>
                <w:szCs w:val="21"/>
              </w:rPr>
              <w:t>文件编号</w:t>
            </w:r>
            <w:r>
              <w:rPr>
                <w:rFonts w:hint="default" w:ascii="Arial" w:hAnsi="Arial" w:cs="Arial"/>
                <w:b/>
                <w:sz w:val="20"/>
                <w:szCs w:val="20"/>
              </w:rPr>
              <w:t>Internal Document No.</w:t>
            </w:r>
          </w:p>
          <w:p>
            <w:pPr>
              <w:keepNext w:val="0"/>
              <w:keepLines w:val="0"/>
              <w:suppressLineNumbers w:val="0"/>
              <w:spacing w:before="120" w:beforeAutospacing="0" w:after="0" w:afterAutospacing="0" w:line="360" w:lineRule="auto"/>
              <w:ind w:left="0" w:right="0"/>
              <w:jc w:val="center"/>
              <w:rPr>
                <w:rFonts w:hint="default" w:ascii="Calibri" w:hAnsi="Calibri"/>
                <w:b/>
                <w:sz w:val="32"/>
                <w:szCs w:val="32"/>
              </w:rPr>
            </w:pP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695" w:hRule="exact"/>
        </w:trPr>
        <w:tc>
          <w:tcPr>
            <w:tcW w:w="4361" w:type="dxa"/>
            <w:gridSpan w:val="2"/>
            <w:vMerge w:val="continue"/>
            <w:tcBorders>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szCs w:val="20"/>
              </w:rPr>
            </w:pPr>
          </w:p>
        </w:tc>
        <w:tc>
          <w:tcPr>
            <w:tcW w:w="2345" w:type="dxa"/>
            <w:gridSpan w:val="2"/>
            <w:tcBorders>
              <w:left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b/>
                <w:sz w:val="21"/>
                <w:szCs w:val="21"/>
              </w:rPr>
            </w:pPr>
            <w:r>
              <w:rPr>
                <w:rFonts w:hint="eastAsia" w:ascii="宋体" w:hAnsi="宋体"/>
                <w:b/>
                <w:sz w:val="21"/>
                <w:szCs w:val="21"/>
              </w:rPr>
              <w:t>客户文件编号</w:t>
            </w:r>
          </w:p>
          <w:p>
            <w:pPr>
              <w:keepNext w:val="0"/>
              <w:keepLines w:val="0"/>
              <w:suppressLineNumbers w:val="0"/>
              <w:spacing w:before="0" w:beforeAutospacing="0" w:after="0" w:afterAutospacing="0"/>
              <w:ind w:left="0" w:right="0"/>
              <w:jc w:val="center"/>
              <w:rPr>
                <w:rFonts w:hint="default"/>
                <w:b/>
                <w:szCs w:val="20"/>
              </w:rPr>
            </w:pPr>
            <w:r>
              <w:rPr>
                <w:rFonts w:hint="default" w:ascii="Arial" w:hAnsi="Arial" w:cs="Arial"/>
                <w:b/>
                <w:sz w:val="18"/>
                <w:szCs w:val="18"/>
              </w:rPr>
              <w:t>Customer Document No.</w:t>
            </w:r>
          </w:p>
        </w:tc>
        <w:tc>
          <w:tcPr>
            <w:tcW w:w="773" w:type="dxa"/>
            <w:gridSpan w:val="2"/>
            <w:tcBorders>
              <w:left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Calibri" w:hAnsi="Calibri"/>
                <w:b/>
                <w:sz w:val="21"/>
                <w:szCs w:val="21"/>
              </w:rPr>
            </w:pPr>
            <w:r>
              <w:rPr>
                <w:rFonts w:hint="eastAsia" w:ascii="Calibri" w:hAnsi="Calibri"/>
                <w:b/>
                <w:sz w:val="21"/>
                <w:szCs w:val="21"/>
              </w:rPr>
              <w:t>版本</w:t>
            </w:r>
          </w:p>
          <w:p>
            <w:pPr>
              <w:keepNext w:val="0"/>
              <w:keepLines w:val="0"/>
              <w:suppressLineNumbers w:val="0"/>
              <w:spacing w:before="0" w:beforeAutospacing="0" w:after="0" w:afterAutospacing="0"/>
              <w:ind w:left="0" w:right="0"/>
              <w:jc w:val="center"/>
              <w:rPr>
                <w:rFonts w:hint="default"/>
                <w:b/>
                <w:szCs w:val="20"/>
              </w:rPr>
            </w:pPr>
            <w:r>
              <w:rPr>
                <w:rFonts w:hint="default" w:ascii="Arial" w:hAnsi="Arial" w:cs="Arial"/>
                <w:b/>
                <w:sz w:val="18"/>
                <w:szCs w:val="18"/>
              </w:rPr>
              <w:t>Rev.</w:t>
            </w:r>
          </w:p>
        </w:tc>
        <w:tc>
          <w:tcPr>
            <w:tcW w:w="1560" w:type="dxa"/>
            <w:tcBorders>
              <w:left w:val="single" w:color="auto" w:sz="4" w:space="0"/>
              <w:bottom w:val="single" w:color="auto" w:sz="4" w:space="0"/>
            </w:tcBorders>
            <w:shd w:val="clear" w:color="auto" w:fill="auto"/>
            <w:vAlign w:val="center"/>
          </w:tcPr>
          <w:p>
            <w:pPr>
              <w:keepNext w:val="0"/>
              <w:keepLines w:val="0"/>
              <w:suppressLineNumbers w:val="0"/>
              <w:spacing w:before="0" w:beforeAutospacing="0" w:after="0" w:afterAutospacing="0" w:line="320" w:lineRule="exact"/>
              <w:ind w:left="0" w:right="0"/>
              <w:jc w:val="center"/>
              <w:rPr>
                <w:rFonts w:hint="default" w:ascii="宋体" w:hAnsi="宋体"/>
                <w:b/>
                <w:sz w:val="21"/>
                <w:szCs w:val="21"/>
              </w:rPr>
            </w:pPr>
            <w:r>
              <w:rPr>
                <w:rFonts w:hint="eastAsia" w:ascii="宋体" w:hAnsi="宋体"/>
                <w:b/>
                <w:sz w:val="21"/>
                <w:szCs w:val="21"/>
              </w:rPr>
              <w:t>客户代号</w:t>
            </w:r>
          </w:p>
          <w:p>
            <w:pPr>
              <w:keepNext w:val="0"/>
              <w:keepLines w:val="0"/>
              <w:suppressLineNumbers w:val="0"/>
              <w:spacing w:before="0" w:beforeAutospacing="0" w:after="0" w:afterAutospacing="0"/>
              <w:ind w:left="0" w:right="0"/>
              <w:jc w:val="center"/>
              <w:rPr>
                <w:rFonts w:hint="default"/>
                <w:b/>
                <w:szCs w:val="20"/>
              </w:rPr>
            </w:pPr>
            <w:r>
              <w:rPr>
                <w:rFonts w:hint="default" w:ascii="Arial" w:hAnsi="Arial" w:cs="Arial"/>
                <w:b/>
                <w:sz w:val="18"/>
                <w:szCs w:val="18"/>
              </w:rPr>
              <w:t>Customer Code</w:t>
            </w:r>
          </w:p>
        </w:tc>
      </w:tr>
      <w:tr>
        <w:tblPrEx>
          <w:tblBorders>
            <w:top w:val="single" w:color="auto" w:sz="12" w:space="0"/>
            <w:left w:val="single" w:color="auto" w:sz="12" w:space="0"/>
            <w:bottom w:val="single" w:color="auto" w:sz="12" w:space="0"/>
            <w:right w:val="single" w:color="auto" w:sz="12" w:space="0"/>
            <w:insideH w:val="single" w:color="auto" w:sz="8" w:space="0"/>
            <w:insideV w:val="none" w:color="auto" w:sz="0" w:space="0"/>
          </w:tblBorders>
          <w:tblLayout w:type="fixed"/>
          <w:tblCellMar>
            <w:top w:w="0" w:type="dxa"/>
            <w:left w:w="108" w:type="dxa"/>
            <w:bottom w:w="0" w:type="dxa"/>
            <w:right w:w="108" w:type="dxa"/>
          </w:tblCellMar>
        </w:tblPrEx>
        <w:trPr>
          <w:trHeight w:val="567" w:hRule="exact"/>
        </w:trPr>
        <w:tc>
          <w:tcPr>
            <w:tcW w:w="4361" w:type="dxa"/>
            <w:gridSpan w:val="2"/>
            <w:vMerge w:val="continue"/>
            <w:tcBorders>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default"/>
                <w:szCs w:val="20"/>
              </w:rPr>
            </w:pPr>
          </w:p>
        </w:tc>
        <w:tc>
          <w:tcPr>
            <w:tcW w:w="2345" w:type="dxa"/>
            <w:gridSpan w:val="2"/>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w:t>
            </w:r>
          </w:p>
        </w:tc>
        <w:tc>
          <w:tcPr>
            <w:tcW w:w="773" w:type="dxa"/>
            <w:gridSpan w:val="2"/>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szCs w:val="20"/>
              </w:rPr>
            </w:pPr>
          </w:p>
        </w:tc>
        <w:tc>
          <w:tcPr>
            <w:tcW w:w="1560" w:type="dxa"/>
            <w:tcBorders>
              <w:top w:val="single" w:color="auto" w:sz="4" w:space="0"/>
              <w:left w:val="single" w:color="auto" w:sz="4" w:space="0"/>
              <w:bottom w:val="single" w:color="auto" w:sz="12" w:space="0"/>
            </w:tcBorders>
            <w:shd w:val="clear" w:color="auto" w:fill="auto"/>
            <w:vAlign w:val="center"/>
          </w:tcPr>
          <w:p>
            <w:pPr>
              <w:keepNext w:val="0"/>
              <w:keepLines w:val="0"/>
              <w:suppressLineNumbers w:val="0"/>
              <w:spacing w:before="0" w:beforeAutospacing="0" w:after="0" w:afterAutospacing="0"/>
              <w:ind w:left="0" w:right="0"/>
              <w:jc w:val="center"/>
              <w:rPr>
                <w:rFonts w:hint="default"/>
                <w:szCs w:val="20"/>
              </w:rPr>
            </w:pPr>
            <w:r>
              <w:rPr>
                <w:rFonts w:hint="eastAsia"/>
                <w:szCs w:val="20"/>
              </w:rPr>
              <w:t>/</w:t>
            </w:r>
          </w:p>
        </w:tc>
      </w:tr>
    </w:tbl>
    <w:p>
      <w:pPr>
        <w:pStyle w:val="29"/>
        <w:adjustRightInd w:val="0"/>
        <w:spacing w:after="312"/>
        <w:jc w:val="center"/>
        <w:outlineLvl w:val="0"/>
        <w:rPr>
          <w:rFonts w:ascii="Arial" w:hAnsi="Arial" w:cs="Arial"/>
          <w:b/>
          <w:bCs/>
          <w:sz w:val="32"/>
        </w:rPr>
        <w:sectPr>
          <w:headerReference r:id="rId15" w:type="first"/>
          <w:footerReference r:id="rId17" w:type="first"/>
          <w:headerReference r:id="rId14" w:type="default"/>
          <w:footerReference r:id="rId16" w:type="default"/>
          <w:pgSz w:w="12240" w:h="15840"/>
          <w:pgMar w:top="1417" w:right="1191" w:bottom="1417" w:left="1361" w:header="851" w:footer="1134" w:gutter="0"/>
          <w:cols w:space="720" w:num="1"/>
          <w:titlePg/>
          <w:rtlGutter w:val="0"/>
          <w:docGrid w:linePitch="0" w:charSpace="0"/>
        </w:sectPr>
      </w:pPr>
    </w:p>
    <w:p>
      <w:pPr>
        <w:pStyle w:val="29"/>
        <w:adjustRightInd w:val="0"/>
        <w:spacing w:before="120" w:beforeLines="50" w:after="120" w:afterLines="50"/>
        <w:jc w:val="center"/>
        <w:rPr>
          <w:rFonts w:ascii="Arial" w:hAnsi="Arial" w:cs="Arial"/>
          <w:b/>
          <w:bCs/>
          <w:sz w:val="32"/>
        </w:rPr>
      </w:pPr>
      <w:r>
        <w:rPr>
          <w:rFonts w:hint="eastAsia" w:ascii="Arial" w:hAnsi="Arial" w:cs="Arial"/>
          <w:b/>
          <w:bCs/>
          <w:sz w:val="32"/>
        </w:rPr>
        <w:t>历史记录</w:t>
      </w:r>
    </w:p>
    <w:p>
      <w:pPr>
        <w:pStyle w:val="29"/>
        <w:adjustRightInd w:val="0"/>
        <w:spacing w:before="120" w:beforeLines="50" w:after="120" w:afterLines="50"/>
        <w:jc w:val="center"/>
        <w:rPr>
          <w:rFonts w:ascii="Arial" w:hAnsi="Arial" w:cs="Arial"/>
          <w:b/>
          <w:bCs/>
          <w:sz w:val="32"/>
          <w:szCs w:val="32"/>
        </w:rPr>
      </w:pPr>
      <w:r>
        <w:rPr>
          <w:rFonts w:ascii="Arial" w:hAnsi="Arial" w:cs="Arial"/>
          <w:b/>
          <w:sz w:val="32"/>
          <w:szCs w:val="32"/>
        </w:rPr>
        <w:t>Revision Log</w:t>
      </w:r>
    </w:p>
    <w:p>
      <w:pPr>
        <w:adjustRightInd w:val="0"/>
        <w:snapToGrid w:val="0"/>
        <w:jc w:val="center"/>
        <w:rPr>
          <w:rFonts w:ascii="Arial" w:hAnsi="Arial" w:cs="Arial"/>
          <w:spacing w:val="16"/>
        </w:rPr>
      </w:pPr>
    </w:p>
    <w:tbl>
      <w:tblPr>
        <w:tblStyle w:val="60"/>
        <w:tblW w:w="88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701"/>
        <w:gridCol w:w="1298"/>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jc w:val="center"/>
        </w:trPr>
        <w:tc>
          <w:tcPr>
            <w:tcW w:w="1276" w:type="dxa"/>
            <w:vAlign w:val="center"/>
          </w:tcPr>
          <w:p>
            <w:pPr>
              <w:pStyle w:val="29"/>
              <w:keepNext w:val="0"/>
              <w:keepLines w:val="0"/>
              <w:suppressLineNumbers w:val="0"/>
              <w:adjustRightInd w:val="0"/>
              <w:spacing w:before="0" w:beforeAutospacing="0" w:after="0" w:afterAutospacing="0" w:line="360" w:lineRule="exact"/>
              <w:ind w:left="0" w:right="0"/>
              <w:jc w:val="center"/>
              <w:rPr>
                <w:rFonts w:hint="default" w:ascii="Arial" w:hAnsi="Arial" w:cs="Arial"/>
                <w:sz w:val="24"/>
                <w:szCs w:val="24"/>
              </w:rPr>
            </w:pPr>
            <w:r>
              <w:rPr>
                <w:rFonts w:hint="default" w:ascii="Arial" w:hAnsi="Arial" w:cs="Arial"/>
                <w:sz w:val="24"/>
                <w:szCs w:val="24"/>
              </w:rPr>
              <w:t>版本</w:t>
            </w:r>
          </w:p>
          <w:p>
            <w:pPr>
              <w:pStyle w:val="29"/>
              <w:keepNext w:val="0"/>
              <w:keepLines w:val="0"/>
              <w:suppressLineNumbers w:val="0"/>
              <w:adjustRightInd w:val="0"/>
              <w:spacing w:before="0" w:beforeAutospacing="0" w:after="0" w:afterAutospacing="0" w:line="360" w:lineRule="exact"/>
              <w:ind w:left="0" w:right="0"/>
              <w:jc w:val="center"/>
              <w:rPr>
                <w:rFonts w:hint="default" w:ascii="Arial" w:hAnsi="Arial" w:cs="Arial"/>
                <w:sz w:val="24"/>
                <w:szCs w:val="24"/>
              </w:rPr>
            </w:pPr>
            <w:r>
              <w:rPr>
                <w:rFonts w:hint="default" w:ascii="Arial" w:hAnsi="Arial" w:cs="Arial"/>
                <w:sz w:val="24"/>
                <w:szCs w:val="24"/>
              </w:rPr>
              <w:t>Revision</w:t>
            </w:r>
          </w:p>
        </w:tc>
        <w:tc>
          <w:tcPr>
            <w:tcW w:w="4701" w:type="dxa"/>
            <w:vAlign w:val="center"/>
          </w:tcPr>
          <w:p>
            <w:pPr>
              <w:pStyle w:val="29"/>
              <w:keepNext w:val="0"/>
              <w:keepLines w:val="0"/>
              <w:suppressLineNumbers w:val="0"/>
              <w:adjustRightInd w:val="0"/>
              <w:spacing w:before="0" w:beforeAutospacing="0" w:after="0" w:afterAutospacing="0" w:line="360" w:lineRule="exact"/>
              <w:ind w:left="0" w:right="0"/>
              <w:jc w:val="center"/>
              <w:rPr>
                <w:rFonts w:hint="default" w:ascii="Arial" w:hAnsi="Arial" w:cs="Arial"/>
                <w:sz w:val="24"/>
                <w:szCs w:val="24"/>
              </w:rPr>
            </w:pPr>
            <w:r>
              <w:rPr>
                <w:rFonts w:hint="default" w:ascii="Arial" w:hAnsi="Arial" w:cs="Arial"/>
                <w:sz w:val="24"/>
                <w:szCs w:val="24"/>
              </w:rPr>
              <w:t>更改描述</w:t>
            </w:r>
          </w:p>
          <w:p>
            <w:pPr>
              <w:pStyle w:val="29"/>
              <w:keepNext w:val="0"/>
              <w:keepLines w:val="0"/>
              <w:suppressLineNumbers w:val="0"/>
              <w:adjustRightInd w:val="0"/>
              <w:spacing w:before="0" w:beforeAutospacing="0" w:after="0" w:afterAutospacing="0" w:line="360" w:lineRule="exact"/>
              <w:ind w:left="0" w:right="0"/>
              <w:jc w:val="center"/>
              <w:rPr>
                <w:rFonts w:hint="default" w:ascii="Arial" w:hAnsi="Arial" w:cs="Arial"/>
                <w:sz w:val="24"/>
                <w:szCs w:val="24"/>
              </w:rPr>
            </w:pPr>
            <w:r>
              <w:rPr>
                <w:rFonts w:hint="default" w:ascii="Arial" w:hAnsi="Arial" w:cs="Arial"/>
                <w:sz w:val="24"/>
                <w:szCs w:val="24"/>
              </w:rPr>
              <w:t>Description</w:t>
            </w:r>
          </w:p>
        </w:tc>
        <w:tc>
          <w:tcPr>
            <w:tcW w:w="1298" w:type="dxa"/>
            <w:vAlign w:val="center"/>
          </w:tcPr>
          <w:p>
            <w:pPr>
              <w:pStyle w:val="29"/>
              <w:keepNext w:val="0"/>
              <w:keepLines w:val="0"/>
              <w:suppressLineNumbers w:val="0"/>
              <w:adjustRightInd w:val="0"/>
              <w:spacing w:before="0" w:beforeAutospacing="0" w:after="0" w:afterAutospacing="0" w:line="360" w:lineRule="exact"/>
              <w:ind w:left="0" w:right="0"/>
              <w:jc w:val="center"/>
              <w:rPr>
                <w:rFonts w:hint="default" w:ascii="Arial" w:hAnsi="Arial" w:cs="Arial"/>
                <w:sz w:val="24"/>
                <w:szCs w:val="24"/>
              </w:rPr>
            </w:pPr>
            <w:r>
              <w:rPr>
                <w:rFonts w:hint="default" w:ascii="Arial" w:hAnsi="Arial" w:cs="Arial"/>
                <w:sz w:val="24"/>
                <w:szCs w:val="24"/>
              </w:rPr>
              <w:t>作者</w:t>
            </w:r>
          </w:p>
          <w:p>
            <w:pPr>
              <w:pStyle w:val="29"/>
              <w:keepNext w:val="0"/>
              <w:keepLines w:val="0"/>
              <w:suppressLineNumbers w:val="0"/>
              <w:adjustRightInd w:val="0"/>
              <w:spacing w:before="0" w:beforeAutospacing="0" w:after="0" w:afterAutospacing="0" w:line="360" w:lineRule="exact"/>
              <w:ind w:left="0" w:right="0"/>
              <w:jc w:val="center"/>
              <w:rPr>
                <w:rFonts w:hint="default" w:ascii="Arial" w:hAnsi="Arial" w:cs="Arial"/>
                <w:sz w:val="24"/>
                <w:szCs w:val="24"/>
              </w:rPr>
            </w:pPr>
            <w:r>
              <w:rPr>
                <w:rFonts w:hint="default" w:ascii="Arial" w:hAnsi="Arial" w:cs="Arial"/>
                <w:sz w:val="24"/>
                <w:szCs w:val="24"/>
              </w:rPr>
              <w:t>Author</w:t>
            </w:r>
          </w:p>
        </w:tc>
        <w:tc>
          <w:tcPr>
            <w:tcW w:w="1557" w:type="dxa"/>
            <w:vAlign w:val="center"/>
          </w:tcPr>
          <w:p>
            <w:pPr>
              <w:pStyle w:val="29"/>
              <w:keepNext w:val="0"/>
              <w:keepLines w:val="0"/>
              <w:suppressLineNumbers w:val="0"/>
              <w:adjustRightInd w:val="0"/>
              <w:spacing w:before="0" w:beforeAutospacing="0" w:after="0" w:afterAutospacing="0" w:line="360" w:lineRule="exact"/>
              <w:ind w:left="0" w:right="0"/>
              <w:jc w:val="center"/>
              <w:rPr>
                <w:rFonts w:hint="default" w:ascii="Arial" w:hAnsi="Arial" w:cs="Arial"/>
                <w:sz w:val="24"/>
                <w:szCs w:val="24"/>
              </w:rPr>
            </w:pPr>
            <w:r>
              <w:rPr>
                <w:rFonts w:hint="default" w:ascii="Arial" w:hAnsi="Arial" w:cs="Arial"/>
                <w:sz w:val="24"/>
                <w:szCs w:val="24"/>
              </w:rPr>
              <w:t>日期</w:t>
            </w:r>
          </w:p>
          <w:p>
            <w:pPr>
              <w:pStyle w:val="29"/>
              <w:keepNext w:val="0"/>
              <w:keepLines w:val="0"/>
              <w:suppressLineNumbers w:val="0"/>
              <w:adjustRightInd w:val="0"/>
              <w:spacing w:before="0" w:beforeAutospacing="0" w:after="0" w:afterAutospacing="0" w:line="360" w:lineRule="exact"/>
              <w:ind w:left="0" w:right="0"/>
              <w:jc w:val="center"/>
              <w:rPr>
                <w:rFonts w:hint="default" w:ascii="Arial" w:hAnsi="Arial" w:cs="Arial"/>
                <w:sz w:val="24"/>
                <w:szCs w:val="24"/>
              </w:rPr>
            </w:pPr>
            <w:r>
              <w:rPr>
                <w:rFonts w:hint="default" w:ascii="Arial" w:hAnsi="Arial" w:cs="Arial"/>
                <w:sz w:val="24"/>
                <w:szCs w:val="24"/>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276"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default" w:ascii="Arial" w:hAnsi="Arial" w:cs="Arial"/>
                <w:sz w:val="24"/>
                <w:szCs w:val="24"/>
              </w:rPr>
              <w:t>A</w:t>
            </w:r>
          </w:p>
        </w:tc>
        <w:tc>
          <w:tcPr>
            <w:tcW w:w="4701"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default" w:ascii="Arial" w:hAnsi="Arial" w:cs="Arial"/>
                <w:sz w:val="24"/>
                <w:szCs w:val="24"/>
              </w:rPr>
              <w:t>初版</w:t>
            </w:r>
          </w:p>
        </w:tc>
        <w:tc>
          <w:tcPr>
            <w:tcW w:w="1298"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郝腾飞</w:t>
            </w:r>
          </w:p>
        </w:tc>
        <w:tc>
          <w:tcPr>
            <w:tcW w:w="1557"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2022-09-05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276"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B</w:t>
            </w:r>
          </w:p>
        </w:tc>
        <w:tc>
          <w:tcPr>
            <w:tcW w:w="4701"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更改附录2插图，xs1/xs2与xs3/xs4位置对换</w:t>
            </w:r>
          </w:p>
        </w:tc>
        <w:tc>
          <w:tcPr>
            <w:tcW w:w="1298"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郝腾飞</w:t>
            </w:r>
          </w:p>
        </w:tc>
        <w:tc>
          <w:tcPr>
            <w:tcW w:w="1557"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2022.09-26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276"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C</w:t>
            </w:r>
          </w:p>
        </w:tc>
        <w:tc>
          <w:tcPr>
            <w:tcW w:w="4701"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增加通讯协议附录</w:t>
            </w:r>
          </w:p>
        </w:tc>
        <w:tc>
          <w:tcPr>
            <w:tcW w:w="1298"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郝腾飞</w:t>
            </w:r>
          </w:p>
        </w:tc>
        <w:tc>
          <w:tcPr>
            <w:tcW w:w="1557"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sz w:val="24"/>
                <w:szCs w:val="24"/>
              </w:rPr>
            </w:pPr>
            <w:r>
              <w:rPr>
                <w:rFonts w:hint="eastAsia" w:ascii="Arial" w:hAnsi="Arial" w:cs="Arial"/>
                <w:sz w:val="24"/>
                <w:szCs w:val="24"/>
              </w:rPr>
              <w:t>2</w:t>
            </w:r>
            <w:r>
              <w:rPr>
                <w:rFonts w:hint="default" w:ascii="Arial" w:hAnsi="Arial" w:cs="Arial"/>
                <w:sz w:val="24"/>
                <w:szCs w:val="24"/>
              </w:rPr>
              <w:t>023.05-28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1" w:hRule="exact"/>
          <w:jc w:val="center"/>
        </w:trPr>
        <w:tc>
          <w:tcPr>
            <w:tcW w:w="1276"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color w:val="FF0000"/>
                <w:sz w:val="24"/>
                <w:szCs w:val="24"/>
              </w:rPr>
            </w:pPr>
            <w:r>
              <w:rPr>
                <w:rFonts w:hint="eastAsia" w:ascii="Arial" w:hAnsi="Arial" w:cs="Arial"/>
                <w:color w:val="FF0000"/>
                <w:sz w:val="24"/>
                <w:szCs w:val="24"/>
              </w:rPr>
              <w:t>D</w:t>
            </w:r>
          </w:p>
        </w:tc>
        <w:tc>
          <w:tcPr>
            <w:tcW w:w="4701" w:type="dxa"/>
            <w:vAlign w:val="center"/>
          </w:tcPr>
          <w:p>
            <w:pPr>
              <w:pStyle w:val="29"/>
              <w:keepNext w:val="0"/>
              <w:keepLines w:val="0"/>
              <w:suppressLineNumbers w:val="0"/>
              <w:adjustRightInd w:val="0"/>
              <w:spacing w:before="0" w:beforeAutospacing="0" w:after="0" w:afterAutospacing="0"/>
              <w:ind w:left="0" w:right="0"/>
              <w:rPr>
                <w:rFonts w:hint="default" w:ascii="Arial" w:hAnsi="Arial" w:cs="Arial"/>
                <w:color w:val="FF0000"/>
                <w:sz w:val="24"/>
                <w:szCs w:val="24"/>
              </w:rPr>
            </w:pPr>
            <w:r>
              <w:rPr>
                <w:rFonts w:hint="eastAsia" w:ascii="Arial" w:hAnsi="Arial" w:cs="Arial"/>
                <w:color w:val="FF0000"/>
                <w:sz w:val="24"/>
                <w:szCs w:val="24"/>
              </w:rPr>
              <w:t>1，根据双方商定修订供货范围。</w:t>
            </w:r>
          </w:p>
          <w:p>
            <w:pPr>
              <w:pStyle w:val="29"/>
              <w:keepNext w:val="0"/>
              <w:keepLines w:val="0"/>
              <w:suppressLineNumbers w:val="0"/>
              <w:adjustRightInd w:val="0"/>
              <w:spacing w:before="0" w:beforeAutospacing="0" w:after="0" w:afterAutospacing="0"/>
              <w:ind w:left="0" w:right="0"/>
              <w:rPr>
                <w:rFonts w:hint="default" w:ascii="Arial" w:hAnsi="Arial" w:cs="Arial"/>
                <w:color w:val="FF0000"/>
                <w:sz w:val="24"/>
                <w:szCs w:val="24"/>
              </w:rPr>
            </w:pPr>
            <w:r>
              <w:rPr>
                <w:rFonts w:hint="eastAsia" w:ascii="Arial" w:hAnsi="Arial" w:cs="Arial"/>
                <w:color w:val="FF0000"/>
                <w:sz w:val="24"/>
                <w:szCs w:val="24"/>
              </w:rPr>
              <w:t>2，增加CAN通讯地址配置。</w:t>
            </w:r>
          </w:p>
          <w:p>
            <w:pPr>
              <w:pStyle w:val="29"/>
              <w:keepNext w:val="0"/>
              <w:keepLines w:val="0"/>
              <w:suppressLineNumbers w:val="0"/>
              <w:adjustRightInd w:val="0"/>
              <w:spacing w:before="0" w:beforeAutospacing="0" w:after="0" w:afterAutospacing="0"/>
              <w:ind w:left="0" w:right="0"/>
              <w:rPr>
                <w:rFonts w:hint="default" w:ascii="Arial" w:hAnsi="Arial" w:cs="Arial"/>
                <w:color w:val="FF0000"/>
                <w:sz w:val="24"/>
                <w:szCs w:val="24"/>
              </w:rPr>
            </w:pPr>
            <w:r>
              <w:rPr>
                <w:rFonts w:hint="eastAsia" w:ascii="Arial" w:hAnsi="Arial" w:cs="Arial"/>
                <w:color w:val="FF0000"/>
                <w:sz w:val="24"/>
                <w:szCs w:val="24"/>
              </w:rPr>
              <w:t xml:space="preserve">3，修改接口尺寸和软件版本参见P97K0082图纸。 </w:t>
            </w:r>
          </w:p>
          <w:p>
            <w:pPr>
              <w:pStyle w:val="29"/>
              <w:keepNext w:val="0"/>
              <w:keepLines w:val="0"/>
              <w:suppressLineNumbers w:val="0"/>
              <w:adjustRightInd w:val="0"/>
              <w:spacing w:before="0" w:beforeAutospacing="0" w:after="0" w:afterAutospacing="0"/>
              <w:ind w:left="0" w:right="0"/>
              <w:rPr>
                <w:rFonts w:hint="default" w:ascii="Arial" w:hAnsi="Arial" w:cs="Arial"/>
                <w:color w:val="FF0000"/>
                <w:sz w:val="24"/>
                <w:szCs w:val="24"/>
              </w:rPr>
            </w:pPr>
            <w:r>
              <w:rPr>
                <w:rFonts w:hint="eastAsia" w:ascii="Arial" w:hAnsi="Arial" w:cs="Arial"/>
                <w:color w:val="FF0000"/>
                <w:sz w:val="24"/>
                <w:szCs w:val="24"/>
              </w:rPr>
              <w:t xml:space="preserve">4，上传PDM最新版RS485和CAN通讯协议。 </w:t>
            </w:r>
          </w:p>
        </w:tc>
        <w:tc>
          <w:tcPr>
            <w:tcW w:w="1298"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color w:val="FF0000"/>
                <w:sz w:val="24"/>
                <w:szCs w:val="24"/>
              </w:rPr>
            </w:pPr>
            <w:r>
              <w:rPr>
                <w:rFonts w:hint="eastAsia" w:ascii="Arial" w:hAnsi="Arial" w:cs="Arial"/>
                <w:color w:val="FF0000"/>
                <w:sz w:val="24"/>
                <w:szCs w:val="24"/>
              </w:rPr>
              <w:t>马秋香</w:t>
            </w:r>
          </w:p>
        </w:tc>
        <w:tc>
          <w:tcPr>
            <w:tcW w:w="1557" w:type="dxa"/>
            <w:vAlign w:val="center"/>
          </w:tcPr>
          <w:p>
            <w:pPr>
              <w:pStyle w:val="29"/>
              <w:keepNext w:val="0"/>
              <w:keepLines w:val="0"/>
              <w:suppressLineNumbers w:val="0"/>
              <w:adjustRightInd w:val="0"/>
              <w:spacing w:before="0" w:beforeAutospacing="0" w:after="0" w:afterAutospacing="0"/>
              <w:ind w:left="0" w:right="0"/>
              <w:jc w:val="center"/>
              <w:rPr>
                <w:rFonts w:hint="default" w:ascii="Arial" w:hAnsi="Arial" w:cs="Arial"/>
                <w:color w:val="FF0000"/>
                <w:sz w:val="24"/>
                <w:szCs w:val="24"/>
              </w:rPr>
            </w:pPr>
            <w:r>
              <w:rPr>
                <w:rFonts w:hint="eastAsia" w:ascii="Arial" w:hAnsi="Arial" w:cs="Arial"/>
                <w:color w:val="FF0000"/>
                <w:sz w:val="24"/>
                <w:szCs w:val="24"/>
              </w:rPr>
              <w:t>2024.5.20</w:t>
            </w:r>
          </w:p>
        </w:tc>
      </w:tr>
    </w:tbl>
    <w:p>
      <w:pPr>
        <w:pStyle w:val="29"/>
        <w:adjustRightInd w:val="0"/>
        <w:rPr>
          <w:rFonts w:ascii="Arial" w:hAnsi="Arial" w:cs="Arial"/>
        </w:rPr>
      </w:pPr>
    </w:p>
    <w:p>
      <w:pPr>
        <w:pStyle w:val="29"/>
        <w:adjustRightInd w:val="0"/>
        <w:rPr>
          <w:rFonts w:ascii="Arial" w:hAnsi="Arial" w:cs="Arial"/>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adjustRightInd w:val="0"/>
        <w:snapToGrid w:val="0"/>
        <w:spacing w:line="280" w:lineRule="exact"/>
        <w:rPr>
          <w:rFonts w:ascii="Arial" w:hAnsi="Arial" w:cs="Arial"/>
          <w:b/>
          <w:sz w:val="24"/>
        </w:rPr>
      </w:pPr>
    </w:p>
    <w:p>
      <w:pPr>
        <w:spacing w:before="240" w:beforeLines="100" w:after="120" w:afterLines="50" w:line="400" w:lineRule="exact"/>
        <w:ind w:firstLine="480" w:firstLineChars="200"/>
        <w:rPr>
          <w:rFonts w:ascii="宋体" w:hAnsi="宋体" w:cs="宋体"/>
          <w:sz w:val="24"/>
          <w:highlight w:val="yellow"/>
        </w:rPr>
      </w:pPr>
    </w:p>
    <w:p>
      <w:pPr>
        <w:spacing w:before="240" w:beforeLines="100" w:after="120" w:afterLines="50" w:line="400" w:lineRule="exact"/>
        <w:ind w:firstLine="480" w:firstLineChars="200"/>
        <w:jc w:val="center"/>
        <w:rPr>
          <w:rFonts w:ascii="宋体" w:hAnsi="宋体" w:cs="宋体"/>
          <w:sz w:val="24"/>
        </w:rPr>
      </w:pPr>
      <w:r>
        <w:rPr>
          <w:rFonts w:hint="eastAsia" w:ascii="宋体" w:hAnsi="宋体" w:cs="宋体"/>
          <w:sz w:val="24"/>
        </w:rPr>
        <w:t>目录</w:t>
      </w:r>
    </w:p>
    <w:p>
      <w:pPr>
        <w:pStyle w:val="32"/>
        <w:tabs>
          <w:tab w:val="left" w:pos="840"/>
          <w:tab w:val="right" w:leader="dot" w:pos="9061"/>
        </w:tabs>
        <w:rPr>
          <w:rFonts w:asciiTheme="minorHAnsi" w:hAnsiTheme="minorHAnsi" w:eastAsiaTheme="minorEastAsia" w:cstheme="minorBidi"/>
          <w:sz w:val="21"/>
          <w:szCs w:val="22"/>
        </w:rPr>
      </w:pPr>
      <w:r>
        <w:rPr>
          <w:rFonts w:hint="eastAsia" w:ascii="宋体" w:hAnsi="宋体" w:cs="宋体"/>
          <w:sz w:val="24"/>
          <w:highlight w:val="yellow"/>
        </w:rPr>
        <w:fldChar w:fldCharType="begin"/>
      </w:r>
      <w:r>
        <w:rPr>
          <w:rFonts w:hint="eastAsia" w:ascii="宋体" w:hAnsi="宋体" w:cs="宋体"/>
          <w:sz w:val="24"/>
          <w:highlight w:val="yellow"/>
        </w:rPr>
        <w:instrText xml:space="preserve">TOC \o "1-2" \h \u </w:instrText>
      </w:r>
      <w:r>
        <w:rPr>
          <w:rFonts w:hint="eastAsia" w:ascii="宋体" w:hAnsi="宋体" w:cs="宋体"/>
          <w:sz w:val="24"/>
          <w:highlight w:val="yellow"/>
        </w:rPr>
        <w:fldChar w:fldCharType="separate"/>
      </w:r>
      <w:r>
        <w:fldChar w:fldCharType="begin"/>
      </w:r>
      <w:r>
        <w:instrText xml:space="preserve"> HYPERLINK \l "_Toc136164093" </w:instrText>
      </w:r>
      <w:r>
        <w:fldChar w:fldCharType="separate"/>
      </w:r>
      <w:r>
        <w:rPr>
          <w:rStyle w:val="54"/>
        </w:rPr>
        <w:t>1.</w:t>
      </w:r>
      <w:r>
        <w:rPr>
          <w:rFonts w:asciiTheme="minorHAnsi" w:hAnsiTheme="minorHAnsi" w:eastAsiaTheme="minorEastAsia" w:cstheme="minorBidi"/>
          <w:sz w:val="21"/>
          <w:szCs w:val="22"/>
        </w:rPr>
        <w:tab/>
      </w:r>
      <w:r>
        <w:rPr>
          <w:rStyle w:val="54"/>
          <w:rFonts w:hint="eastAsia"/>
        </w:rPr>
        <w:t>主题</w:t>
      </w:r>
      <w:r>
        <w:tab/>
      </w:r>
      <w:r>
        <w:fldChar w:fldCharType="begin"/>
      </w:r>
      <w:r>
        <w:instrText xml:space="preserve"> PAGEREF _Toc136164093 \h </w:instrText>
      </w:r>
      <w:r>
        <w:fldChar w:fldCharType="separate"/>
      </w:r>
      <w:r>
        <w:t>3</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"_Toc136164094" </w:instrText>
      </w:r>
      <w:r>
        <w:fldChar w:fldCharType="separate"/>
      </w:r>
      <w:r>
        <w:rPr>
          <w:rStyle w:val="54"/>
        </w:rPr>
        <w:t>2.</w:t>
      </w:r>
      <w:r>
        <w:rPr>
          <w:rFonts w:asciiTheme="minorHAnsi" w:hAnsiTheme="minorHAnsi" w:eastAsiaTheme="minorEastAsia" w:cstheme="minorBidi"/>
          <w:sz w:val="21"/>
          <w:szCs w:val="22"/>
        </w:rPr>
        <w:tab/>
      </w:r>
      <w:r>
        <w:rPr>
          <w:rStyle w:val="54"/>
          <w:rFonts w:hint="eastAsia"/>
        </w:rPr>
        <w:t>供货范围</w:t>
      </w:r>
      <w:r>
        <w:tab/>
      </w:r>
      <w:r>
        <w:fldChar w:fldCharType="begin"/>
      </w:r>
      <w:r>
        <w:instrText xml:space="preserve"> PAGEREF _Toc136164094 \h </w:instrText>
      </w:r>
      <w:r>
        <w:fldChar w:fldCharType="separate"/>
      </w:r>
      <w:r>
        <w:t>3</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"_Toc136164095" </w:instrText>
      </w:r>
      <w:r>
        <w:fldChar w:fldCharType="separate"/>
      </w:r>
      <w:r>
        <w:rPr>
          <w:rStyle w:val="54"/>
        </w:rPr>
        <w:t>3.</w:t>
      </w:r>
      <w:r>
        <w:rPr>
          <w:rFonts w:asciiTheme="minorHAnsi" w:hAnsiTheme="minorHAnsi" w:eastAsiaTheme="minorEastAsia" w:cstheme="minorBidi"/>
          <w:sz w:val="21"/>
          <w:szCs w:val="22"/>
        </w:rPr>
        <w:tab/>
      </w:r>
      <w:r>
        <w:rPr>
          <w:rStyle w:val="54"/>
          <w:rFonts w:hint="eastAsia"/>
        </w:rPr>
        <w:t>引用标准及相关文件</w:t>
      </w:r>
      <w:r>
        <w:tab/>
      </w:r>
      <w:r>
        <w:fldChar w:fldCharType="begin"/>
      </w:r>
      <w:r>
        <w:instrText xml:space="preserve"> PAGEREF _Toc136164095 \h </w:instrText>
      </w:r>
      <w:r>
        <w:fldChar w:fldCharType="separate"/>
      </w:r>
      <w:r>
        <w:t>4</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"_Toc136164096" </w:instrText>
      </w:r>
      <w:r>
        <w:fldChar w:fldCharType="separate"/>
      </w:r>
      <w:r>
        <w:rPr>
          <w:rStyle w:val="54"/>
        </w:rPr>
        <w:t>4.</w:t>
      </w:r>
      <w:r>
        <w:rPr>
          <w:rFonts w:asciiTheme="minorHAnsi" w:hAnsiTheme="minorHAnsi" w:eastAsiaTheme="minorEastAsia" w:cstheme="minorBidi"/>
          <w:sz w:val="21"/>
          <w:szCs w:val="22"/>
        </w:rPr>
        <w:tab/>
      </w:r>
      <w:r>
        <w:rPr>
          <w:rStyle w:val="54"/>
        </w:rPr>
        <w:t>KIO</w:t>
      </w:r>
      <w:r>
        <w:rPr>
          <w:rStyle w:val="54"/>
          <w:rFonts w:hint="eastAsia"/>
        </w:rPr>
        <w:t>硬件参数</w:t>
      </w:r>
      <w:r>
        <w:tab/>
      </w:r>
      <w:r>
        <w:fldChar w:fldCharType="begin"/>
      </w:r>
      <w:r>
        <w:instrText xml:space="preserve"> PAGEREF _Toc136164096 \h </w:instrText>
      </w:r>
      <w:r>
        <w:fldChar w:fldCharType="separate"/>
      </w:r>
      <w:r>
        <w:t>5</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"_Toc136164097" </w:instrText>
      </w:r>
      <w:r>
        <w:fldChar w:fldCharType="separate"/>
      </w:r>
      <w:r>
        <w:rPr>
          <w:rStyle w:val="54"/>
          <w:rFonts w:cs="宋体"/>
        </w:rPr>
        <w:t>4.1.</w:t>
      </w:r>
      <w:r>
        <w:rPr>
          <w:rFonts w:asciiTheme="minorHAnsi" w:hAnsiTheme="minorHAnsi" w:eastAsiaTheme="minorEastAsia" w:cstheme="minorBidi"/>
          <w:sz w:val="21"/>
          <w:szCs w:val="22"/>
        </w:rPr>
        <w:tab/>
      </w:r>
      <w:r>
        <w:rPr>
          <w:rStyle w:val="54"/>
          <w:rFonts w:hint="eastAsia"/>
        </w:rPr>
        <w:t>应用环境条件</w:t>
      </w:r>
      <w:r>
        <w:tab/>
      </w:r>
      <w:r>
        <w:fldChar w:fldCharType="begin"/>
      </w:r>
      <w:r>
        <w:instrText xml:space="preserve"> PAGEREF _Toc136164097 \h </w:instrText>
      </w:r>
      <w:r>
        <w:fldChar w:fldCharType="separate"/>
      </w:r>
      <w:r>
        <w:t>5</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"_Toc136164098" </w:instrText>
      </w:r>
      <w:r>
        <w:fldChar w:fldCharType="separate"/>
      </w:r>
      <w:r>
        <w:rPr>
          <w:rStyle w:val="54"/>
          <w:rFonts w:cs="宋体"/>
        </w:rPr>
        <w:t>4.2.</w:t>
      </w:r>
      <w:r>
        <w:rPr>
          <w:rFonts w:asciiTheme="minorHAnsi" w:hAnsiTheme="minorHAnsi" w:eastAsiaTheme="minorEastAsia" w:cstheme="minorBidi"/>
          <w:sz w:val="21"/>
          <w:szCs w:val="22"/>
        </w:rPr>
        <w:tab/>
      </w:r>
      <w:r>
        <w:rPr>
          <w:rStyle w:val="54"/>
          <w:rFonts w:hint="eastAsia"/>
        </w:rPr>
        <w:t>硬件结构</w:t>
      </w:r>
      <w:r>
        <w:tab/>
      </w:r>
      <w:r>
        <w:fldChar w:fldCharType="begin"/>
      </w:r>
      <w:r>
        <w:instrText xml:space="preserve"> PAGEREF _Toc136164098 \h </w:instrText>
      </w:r>
      <w:r>
        <w:fldChar w:fldCharType="separate"/>
      </w:r>
      <w:r>
        <w:t>5</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"_Toc136164099" </w:instrText>
      </w:r>
      <w:r>
        <w:fldChar w:fldCharType="separate"/>
      </w:r>
      <w:r>
        <w:rPr>
          <w:rStyle w:val="54"/>
          <w:rFonts w:cs="宋体"/>
        </w:rPr>
        <w:t>4.3.</w:t>
      </w:r>
      <w:r>
        <w:rPr>
          <w:rFonts w:asciiTheme="minorHAnsi" w:hAnsiTheme="minorHAnsi" w:eastAsiaTheme="minorEastAsia" w:cstheme="minorBidi"/>
          <w:sz w:val="21"/>
          <w:szCs w:val="22"/>
        </w:rPr>
        <w:tab/>
      </w:r>
      <w:r>
        <w:rPr>
          <w:rStyle w:val="54"/>
        </w:rPr>
        <w:t>IO</w:t>
      </w:r>
      <w:r>
        <w:rPr>
          <w:rStyle w:val="54"/>
          <w:rFonts w:hint="eastAsia"/>
        </w:rPr>
        <w:t>模块硬件需求</w:t>
      </w:r>
      <w:r>
        <w:tab/>
      </w:r>
      <w:r>
        <w:fldChar w:fldCharType="begin"/>
      </w:r>
      <w:r>
        <w:instrText xml:space="preserve"> PAGEREF _Toc136164099 \h </w:instrText>
      </w:r>
      <w:r>
        <w:fldChar w:fldCharType="separate"/>
      </w:r>
      <w:r>
        <w:t>5</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"_Toc136164100" </w:instrText>
      </w:r>
      <w:r>
        <w:fldChar w:fldCharType="separate"/>
      </w:r>
      <w:r>
        <w:rPr>
          <w:rStyle w:val="54"/>
        </w:rPr>
        <w:t>5.</w:t>
      </w:r>
      <w:r>
        <w:rPr>
          <w:rFonts w:asciiTheme="minorHAnsi" w:hAnsiTheme="minorHAnsi" w:eastAsiaTheme="minorEastAsia" w:cstheme="minorBidi"/>
          <w:sz w:val="21"/>
          <w:szCs w:val="22"/>
        </w:rPr>
        <w:tab/>
      </w:r>
      <w:r>
        <w:rPr>
          <w:rStyle w:val="54"/>
          <w:rFonts w:hint="eastAsia"/>
        </w:rPr>
        <w:t>电路设计原则</w:t>
      </w:r>
      <w:r>
        <w:tab/>
      </w:r>
      <w:r>
        <w:fldChar w:fldCharType="begin"/>
      </w:r>
      <w:r>
        <w:instrText xml:space="preserve"> PAGEREF _Toc136164100 \h </w:instrText>
      </w:r>
      <w:r>
        <w:fldChar w:fldCharType="separate"/>
      </w:r>
      <w:r>
        <w:t>6</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"_Toc136164101" </w:instrText>
      </w:r>
      <w:r>
        <w:fldChar w:fldCharType="separate"/>
      </w:r>
      <w:r>
        <w:rPr>
          <w:rStyle w:val="54"/>
          <w:rFonts w:cs="宋体"/>
        </w:rPr>
        <w:t>5.1.</w:t>
      </w:r>
      <w:r>
        <w:rPr>
          <w:rFonts w:asciiTheme="minorHAnsi" w:hAnsiTheme="minorHAnsi" w:eastAsiaTheme="minorEastAsia" w:cstheme="minorBidi"/>
          <w:sz w:val="21"/>
          <w:szCs w:val="22"/>
        </w:rPr>
        <w:tab/>
      </w:r>
      <w:r>
        <w:rPr>
          <w:rStyle w:val="54"/>
          <w:rFonts w:hint="eastAsia"/>
        </w:rPr>
        <w:t>电源</w:t>
      </w:r>
      <w:r>
        <w:tab/>
      </w:r>
      <w:r>
        <w:fldChar w:fldCharType="begin"/>
      </w:r>
      <w:r>
        <w:instrText xml:space="preserve"> PAGEREF _Toc136164101 \h </w:instrText>
      </w:r>
      <w:r>
        <w:fldChar w:fldCharType="separate"/>
      </w:r>
      <w:r>
        <w:t>6</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"_Toc136164102" </w:instrText>
      </w:r>
      <w:r>
        <w:fldChar w:fldCharType="separate"/>
      </w:r>
      <w:r>
        <w:rPr>
          <w:rStyle w:val="54"/>
          <w:rFonts w:cs="宋体"/>
        </w:rPr>
        <w:t>5.2.</w:t>
      </w:r>
      <w:r>
        <w:rPr>
          <w:rFonts w:asciiTheme="minorHAnsi" w:hAnsiTheme="minorHAnsi" w:eastAsiaTheme="minorEastAsia" w:cstheme="minorBidi"/>
          <w:sz w:val="21"/>
          <w:szCs w:val="22"/>
        </w:rPr>
        <w:tab/>
      </w:r>
      <w:r>
        <w:rPr>
          <w:rStyle w:val="54"/>
          <w:rFonts w:hint="eastAsia"/>
        </w:rPr>
        <w:t>数字量输入点规格</w:t>
      </w:r>
      <w:r>
        <w:tab/>
      </w:r>
      <w:r>
        <w:fldChar w:fldCharType="begin"/>
      </w:r>
      <w:r>
        <w:instrText xml:space="preserve"> PAGEREF _Toc136164102 \h </w:instrText>
      </w:r>
      <w:r>
        <w:fldChar w:fldCharType="separate"/>
      </w:r>
      <w:r>
        <w:t>6</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"_Toc136164103" </w:instrText>
      </w:r>
      <w:r>
        <w:fldChar w:fldCharType="separate"/>
      </w:r>
      <w:r>
        <w:rPr>
          <w:rStyle w:val="54"/>
          <w:rFonts w:cs="宋体"/>
        </w:rPr>
        <w:t>5.3.</w:t>
      </w:r>
      <w:r>
        <w:rPr>
          <w:rFonts w:asciiTheme="minorHAnsi" w:hAnsiTheme="minorHAnsi" w:eastAsiaTheme="minorEastAsia" w:cstheme="minorBidi"/>
          <w:sz w:val="21"/>
          <w:szCs w:val="22"/>
        </w:rPr>
        <w:tab/>
      </w:r>
      <w:r>
        <w:rPr>
          <w:rStyle w:val="54"/>
          <w:rFonts w:hint="eastAsia"/>
        </w:rPr>
        <w:t>数字量输出点规格</w:t>
      </w:r>
      <w:r>
        <w:tab/>
      </w:r>
      <w:r>
        <w:fldChar w:fldCharType="begin"/>
      </w:r>
      <w:r>
        <w:instrText xml:space="preserve"> PAGEREF _Toc136164103 \h </w:instrText>
      </w:r>
      <w:r>
        <w:fldChar w:fldCharType="separate"/>
      </w:r>
      <w:r>
        <w:t>7</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"_Toc136164104" </w:instrText>
      </w:r>
      <w:r>
        <w:fldChar w:fldCharType="separate"/>
      </w:r>
      <w:r>
        <w:rPr>
          <w:rStyle w:val="54"/>
          <w:rFonts w:cs="宋体"/>
        </w:rPr>
        <w:t>5.4.</w:t>
      </w:r>
      <w:r>
        <w:rPr>
          <w:rFonts w:asciiTheme="minorHAnsi" w:hAnsiTheme="minorHAnsi" w:eastAsiaTheme="minorEastAsia" w:cstheme="minorBidi"/>
          <w:sz w:val="21"/>
          <w:szCs w:val="22"/>
        </w:rPr>
        <w:tab/>
      </w:r>
      <w:r>
        <w:rPr>
          <w:rStyle w:val="54"/>
          <w:rFonts w:hint="eastAsia"/>
        </w:rPr>
        <w:t>模拟量输入规格</w:t>
      </w:r>
      <w:r>
        <w:tab/>
      </w:r>
      <w:r>
        <w:fldChar w:fldCharType="begin"/>
      </w:r>
      <w:r>
        <w:instrText xml:space="preserve"> PAGEREF _Toc136164104 \h </w:instrText>
      </w:r>
      <w:r>
        <w:fldChar w:fldCharType="separate"/>
      </w:r>
      <w:r>
        <w:t>7</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"_Toc136164105" </w:instrText>
      </w:r>
      <w:r>
        <w:fldChar w:fldCharType="separate"/>
      </w:r>
      <w:r>
        <w:rPr>
          <w:rStyle w:val="54"/>
          <w:rFonts w:cs="宋体"/>
        </w:rPr>
        <w:t>5.5.</w:t>
      </w:r>
      <w:r>
        <w:rPr>
          <w:rFonts w:asciiTheme="minorHAnsi" w:hAnsiTheme="minorHAnsi" w:eastAsiaTheme="minorEastAsia" w:cstheme="minorBidi"/>
          <w:sz w:val="21"/>
          <w:szCs w:val="22"/>
        </w:rPr>
        <w:tab/>
      </w:r>
      <w:r>
        <w:rPr>
          <w:rStyle w:val="54"/>
          <w:rFonts w:hint="eastAsia"/>
        </w:rPr>
        <w:t>存储器</w:t>
      </w:r>
      <w:r>
        <w:tab/>
      </w:r>
      <w:r>
        <w:fldChar w:fldCharType="begin"/>
      </w:r>
      <w:r>
        <w:instrText xml:space="preserve"> PAGEREF _Toc136164105 \h </w:instrText>
      </w:r>
      <w:r>
        <w:fldChar w:fldCharType="separate"/>
      </w:r>
      <w:r>
        <w:t>8</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"_Toc136164106" </w:instrText>
      </w:r>
      <w:r>
        <w:fldChar w:fldCharType="separate"/>
      </w:r>
      <w:r>
        <w:rPr>
          <w:rStyle w:val="54"/>
          <w:rFonts w:cs="宋体"/>
        </w:rPr>
        <w:t>5.6.</w:t>
      </w:r>
      <w:r>
        <w:rPr>
          <w:rFonts w:asciiTheme="minorHAnsi" w:hAnsiTheme="minorHAnsi" w:eastAsiaTheme="minorEastAsia" w:cstheme="minorBidi"/>
          <w:sz w:val="21"/>
          <w:szCs w:val="22"/>
        </w:rPr>
        <w:tab/>
      </w:r>
      <w:r>
        <w:rPr>
          <w:rStyle w:val="54"/>
        </w:rPr>
        <w:t>RS485</w:t>
      </w:r>
      <w:r>
        <w:tab/>
      </w:r>
      <w:r>
        <w:fldChar w:fldCharType="begin"/>
      </w:r>
      <w:r>
        <w:instrText xml:space="preserve"> PAGEREF _Toc136164106 \h </w:instrText>
      </w:r>
      <w:r>
        <w:fldChar w:fldCharType="separate"/>
      </w:r>
      <w:r>
        <w:t>8</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"_Toc136164107" </w:instrText>
      </w:r>
      <w:r>
        <w:fldChar w:fldCharType="separate"/>
      </w:r>
      <w:r>
        <w:rPr>
          <w:rStyle w:val="54"/>
          <w:rFonts w:cs="宋体"/>
        </w:rPr>
        <w:t>5.7.</w:t>
      </w:r>
      <w:r>
        <w:rPr>
          <w:rFonts w:asciiTheme="minorHAnsi" w:hAnsiTheme="minorHAnsi" w:eastAsiaTheme="minorEastAsia" w:cstheme="minorBidi"/>
          <w:sz w:val="21"/>
          <w:szCs w:val="22"/>
        </w:rPr>
        <w:tab/>
      </w:r>
      <w:r>
        <w:rPr>
          <w:rStyle w:val="54"/>
        </w:rPr>
        <w:t>CAN</w:t>
      </w:r>
      <w:r>
        <w:rPr>
          <w:rStyle w:val="54"/>
          <w:rFonts w:hint="eastAsia"/>
        </w:rPr>
        <w:t>接口</w:t>
      </w:r>
      <w:r>
        <w:tab/>
      </w:r>
      <w:r>
        <w:fldChar w:fldCharType="begin"/>
      </w:r>
      <w:r>
        <w:instrText xml:space="preserve"> PAGEREF _Toc136164107 \h </w:instrText>
      </w:r>
      <w:r>
        <w:fldChar w:fldCharType="separate"/>
      </w:r>
      <w:r>
        <w:t>8</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"_Toc136164108" </w:instrText>
      </w:r>
      <w:r>
        <w:fldChar w:fldCharType="separate"/>
      </w:r>
      <w:r>
        <w:rPr>
          <w:rStyle w:val="54"/>
          <w:rFonts w:cs="宋体"/>
        </w:rPr>
        <w:t>5.8.</w:t>
      </w:r>
      <w:r>
        <w:rPr>
          <w:rFonts w:asciiTheme="minorHAnsi" w:hAnsiTheme="minorHAnsi" w:eastAsiaTheme="minorEastAsia" w:cstheme="minorBidi"/>
          <w:sz w:val="21"/>
          <w:szCs w:val="22"/>
        </w:rPr>
        <w:tab/>
      </w:r>
      <w:r>
        <w:rPr>
          <w:rStyle w:val="54"/>
          <w:rFonts w:hint="eastAsia"/>
        </w:rPr>
        <w:t>电子膨胀阀接口</w:t>
      </w:r>
      <w:r>
        <w:tab/>
      </w:r>
      <w:r>
        <w:fldChar w:fldCharType="begin"/>
      </w:r>
      <w:r>
        <w:instrText xml:space="preserve"> PAGEREF _Toc136164108 \h </w:instrText>
      </w:r>
      <w:r>
        <w:fldChar w:fldCharType="separate"/>
      </w:r>
      <w:r>
        <w:t>8</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"_Toc136164109" </w:instrText>
      </w:r>
      <w:r>
        <w:fldChar w:fldCharType="separate"/>
      </w:r>
      <w:r>
        <w:rPr>
          <w:rStyle w:val="54"/>
        </w:rPr>
        <w:t>6.</w:t>
      </w:r>
      <w:r>
        <w:rPr>
          <w:rFonts w:asciiTheme="minorHAnsi" w:hAnsiTheme="minorHAnsi" w:eastAsiaTheme="minorEastAsia" w:cstheme="minorBidi"/>
          <w:sz w:val="21"/>
          <w:szCs w:val="22"/>
        </w:rPr>
        <w:tab/>
      </w:r>
      <w:r>
        <w:rPr>
          <w:rStyle w:val="54"/>
        </w:rPr>
        <w:t>KIO</w:t>
      </w:r>
      <w:r>
        <w:rPr>
          <w:rStyle w:val="54"/>
          <w:rFonts w:hint="eastAsia"/>
        </w:rPr>
        <w:t>软件参数</w:t>
      </w:r>
      <w:r>
        <w:tab/>
      </w:r>
      <w:r>
        <w:fldChar w:fldCharType="begin"/>
      </w:r>
      <w:r>
        <w:instrText xml:space="preserve"> PAGEREF _Toc136164109 \h </w:instrText>
      </w:r>
      <w:r>
        <w:fldChar w:fldCharType="separate"/>
      </w:r>
      <w:r>
        <w:t>8</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"_Toc136164110" </w:instrText>
      </w:r>
      <w:r>
        <w:fldChar w:fldCharType="separate"/>
      </w:r>
      <w:r>
        <w:rPr>
          <w:rStyle w:val="54"/>
        </w:rPr>
        <w:t>7.</w:t>
      </w:r>
      <w:r>
        <w:rPr>
          <w:rFonts w:asciiTheme="minorHAnsi" w:hAnsiTheme="minorHAnsi" w:eastAsiaTheme="minorEastAsia" w:cstheme="minorBidi"/>
          <w:sz w:val="21"/>
          <w:szCs w:val="22"/>
        </w:rPr>
        <w:tab/>
      </w:r>
      <w:r>
        <w:rPr>
          <w:rStyle w:val="54"/>
          <w:rFonts w:hint="eastAsia"/>
        </w:rPr>
        <w:t>试验要求</w:t>
      </w:r>
      <w:r>
        <w:tab/>
      </w:r>
      <w:r>
        <w:fldChar w:fldCharType="begin"/>
      </w:r>
      <w:r>
        <w:instrText xml:space="preserve"> PAGEREF _Toc136164110 \h </w:instrText>
      </w:r>
      <w:r>
        <w:fldChar w:fldCharType="separate"/>
      </w:r>
      <w:r>
        <w:t>9</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"_Toc136164111" </w:instrText>
      </w:r>
      <w:r>
        <w:fldChar w:fldCharType="separate"/>
      </w:r>
      <w:r>
        <w:rPr>
          <w:rStyle w:val="54"/>
          <w:rFonts w:cs="宋体"/>
        </w:rPr>
        <w:t>7.1.</w:t>
      </w:r>
      <w:r>
        <w:rPr>
          <w:rFonts w:asciiTheme="minorHAnsi" w:hAnsiTheme="minorHAnsi" w:eastAsiaTheme="minorEastAsia" w:cstheme="minorBidi"/>
          <w:sz w:val="21"/>
          <w:szCs w:val="22"/>
        </w:rPr>
        <w:tab/>
      </w:r>
      <w:r>
        <w:rPr>
          <w:rStyle w:val="54"/>
          <w:rFonts w:hint="eastAsia"/>
        </w:rPr>
        <w:t>供应商应编制试验大纲，由国祥批准。</w:t>
      </w:r>
      <w:r>
        <w:tab/>
      </w:r>
      <w:r>
        <w:fldChar w:fldCharType="begin"/>
      </w:r>
      <w:r>
        <w:instrText xml:space="preserve"> PAGEREF _Toc136164111 \h </w:instrText>
      </w:r>
      <w:r>
        <w:fldChar w:fldCharType="separate"/>
      </w:r>
      <w:r>
        <w:t>9</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"_Toc136164112" </w:instrText>
      </w:r>
      <w:r>
        <w:fldChar w:fldCharType="separate"/>
      </w:r>
      <w:r>
        <w:rPr>
          <w:rStyle w:val="54"/>
        </w:rPr>
        <w:t>8.</w:t>
      </w:r>
      <w:r>
        <w:rPr>
          <w:rFonts w:asciiTheme="minorHAnsi" w:hAnsiTheme="minorHAnsi" w:eastAsiaTheme="minorEastAsia" w:cstheme="minorBidi"/>
          <w:sz w:val="21"/>
          <w:szCs w:val="22"/>
        </w:rPr>
        <w:tab/>
      </w:r>
      <w:r>
        <w:rPr>
          <w:rStyle w:val="54"/>
          <w:rFonts w:hint="eastAsia"/>
        </w:rPr>
        <w:t>供应商的工作</w:t>
      </w:r>
      <w:r>
        <w:tab/>
      </w:r>
      <w:r>
        <w:fldChar w:fldCharType="begin"/>
      </w:r>
      <w:r>
        <w:instrText xml:space="preserve"> PAGEREF _Toc136164112 \h </w:instrText>
      </w:r>
      <w:r>
        <w:fldChar w:fldCharType="separate"/>
      </w:r>
      <w:r>
        <w:t>10</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"_Toc136164113" </w:instrText>
      </w:r>
      <w:r>
        <w:fldChar w:fldCharType="separate"/>
      </w:r>
      <w:r>
        <w:rPr>
          <w:rStyle w:val="54"/>
          <w:rFonts w:cs="宋体"/>
        </w:rPr>
        <w:t>8.1.</w:t>
      </w:r>
      <w:r>
        <w:rPr>
          <w:rFonts w:asciiTheme="minorHAnsi" w:hAnsiTheme="minorHAnsi" w:eastAsiaTheme="minorEastAsia" w:cstheme="minorBidi"/>
          <w:sz w:val="21"/>
          <w:szCs w:val="22"/>
        </w:rPr>
        <w:tab/>
      </w:r>
      <w:r>
        <w:rPr>
          <w:rStyle w:val="54"/>
          <w:rFonts w:hint="eastAsia"/>
        </w:rPr>
        <w:t>根据国祥提供的技术条件进行试制。</w:t>
      </w:r>
      <w:r>
        <w:tab/>
      </w:r>
      <w:r>
        <w:fldChar w:fldCharType="begin"/>
      </w:r>
      <w:r>
        <w:instrText xml:space="preserve"> PAGEREF _Toc136164113 \h </w:instrText>
      </w:r>
      <w:r>
        <w:fldChar w:fldCharType="separate"/>
      </w:r>
      <w:r>
        <w:t>10</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"_Toc136164114" </w:instrText>
      </w:r>
      <w:r>
        <w:fldChar w:fldCharType="separate"/>
      </w:r>
      <w:r>
        <w:rPr>
          <w:rStyle w:val="54"/>
          <w:rFonts w:cs="宋体"/>
        </w:rPr>
        <w:t>8.2.</w:t>
      </w:r>
      <w:r>
        <w:rPr>
          <w:rFonts w:asciiTheme="minorHAnsi" w:hAnsiTheme="minorHAnsi" w:eastAsiaTheme="minorEastAsia" w:cstheme="minorBidi"/>
          <w:sz w:val="21"/>
          <w:szCs w:val="22"/>
        </w:rPr>
        <w:tab/>
      </w:r>
      <w:r>
        <w:rPr>
          <w:rStyle w:val="54"/>
          <w:rFonts w:hint="eastAsia"/>
        </w:rPr>
        <w:t>编制型式试验和例行试验大纲。</w:t>
      </w:r>
      <w:r>
        <w:tab/>
      </w:r>
      <w:r>
        <w:fldChar w:fldCharType="begin"/>
      </w:r>
      <w:r>
        <w:instrText xml:space="preserve"> PAGEREF _Toc136164114 \h </w:instrText>
      </w:r>
      <w:r>
        <w:fldChar w:fldCharType="separate"/>
      </w:r>
      <w:r>
        <w:t>10</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"_Toc136164115" </w:instrText>
      </w:r>
      <w:r>
        <w:fldChar w:fldCharType="separate"/>
      </w:r>
      <w:r>
        <w:rPr>
          <w:rStyle w:val="54"/>
          <w:rFonts w:cs="宋体"/>
        </w:rPr>
        <w:t>8.3.</w:t>
      </w:r>
      <w:r>
        <w:rPr>
          <w:rFonts w:asciiTheme="minorHAnsi" w:hAnsiTheme="minorHAnsi" w:eastAsiaTheme="minorEastAsia" w:cstheme="minorBidi"/>
          <w:sz w:val="21"/>
          <w:szCs w:val="22"/>
        </w:rPr>
        <w:tab/>
      </w:r>
      <w:r>
        <w:rPr>
          <w:rStyle w:val="54"/>
          <w:rFonts w:hint="eastAsia"/>
        </w:rPr>
        <w:t>提交材料证明报告</w:t>
      </w:r>
      <w:r>
        <w:tab/>
      </w:r>
      <w:r>
        <w:fldChar w:fldCharType="begin"/>
      </w:r>
      <w:r>
        <w:instrText xml:space="preserve"> PAGEREF _Toc136164115 \h </w:instrText>
      </w:r>
      <w:r>
        <w:fldChar w:fldCharType="separate"/>
      </w:r>
      <w:r>
        <w:t>10</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"_Toc136164116" </w:instrText>
      </w:r>
      <w:r>
        <w:fldChar w:fldCharType="separate"/>
      </w:r>
      <w:r>
        <w:rPr>
          <w:rStyle w:val="54"/>
          <w:rFonts w:cs="宋体"/>
        </w:rPr>
        <w:t>8.4.</w:t>
      </w:r>
      <w:r>
        <w:rPr>
          <w:rFonts w:asciiTheme="minorHAnsi" w:hAnsiTheme="minorHAnsi" w:eastAsiaTheme="minorEastAsia" w:cstheme="minorBidi"/>
          <w:sz w:val="21"/>
          <w:szCs w:val="22"/>
        </w:rPr>
        <w:tab/>
      </w:r>
      <w:r>
        <w:rPr>
          <w:rStyle w:val="54"/>
          <w:rFonts w:hint="eastAsia"/>
        </w:rPr>
        <w:t>供货试装车，配合运行考核及负责可能的整改。</w:t>
      </w:r>
      <w:r>
        <w:tab/>
      </w:r>
      <w:r>
        <w:fldChar w:fldCharType="begin"/>
      </w:r>
      <w:r>
        <w:instrText xml:space="preserve"> PAGEREF _Toc136164116 \h </w:instrText>
      </w:r>
      <w:r>
        <w:fldChar w:fldCharType="separate"/>
      </w:r>
      <w:r>
        <w:t>10</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"_Toc136164117" </w:instrText>
      </w:r>
      <w:r>
        <w:fldChar w:fldCharType="separate"/>
      </w:r>
      <w:r>
        <w:rPr>
          <w:rStyle w:val="54"/>
        </w:rPr>
        <w:t>9.</w:t>
      </w:r>
      <w:r>
        <w:rPr>
          <w:rFonts w:asciiTheme="minorHAnsi" w:hAnsiTheme="minorHAnsi" w:eastAsiaTheme="minorEastAsia" w:cstheme="minorBidi"/>
          <w:sz w:val="21"/>
          <w:szCs w:val="22"/>
        </w:rPr>
        <w:tab/>
      </w:r>
      <w:r>
        <w:rPr>
          <w:rStyle w:val="54"/>
          <w:rFonts w:hint="eastAsia"/>
        </w:rPr>
        <w:t>技术资料及随机提供物品</w:t>
      </w:r>
      <w:r>
        <w:tab/>
      </w:r>
      <w:r>
        <w:fldChar w:fldCharType="begin"/>
      </w:r>
      <w:r>
        <w:instrText xml:space="preserve"> PAGEREF _Toc136164117 \h </w:instrText>
      </w:r>
      <w:r>
        <w:fldChar w:fldCharType="separate"/>
      </w:r>
      <w:r>
        <w:t>11</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"_Toc136164118" </w:instrText>
      </w:r>
      <w:r>
        <w:fldChar w:fldCharType="separate"/>
      </w:r>
      <w:r>
        <w:rPr>
          <w:rStyle w:val="54"/>
          <w:rFonts w:cs="宋体"/>
        </w:rPr>
        <w:t>9.1.</w:t>
      </w:r>
      <w:r>
        <w:rPr>
          <w:rFonts w:asciiTheme="minorHAnsi" w:hAnsiTheme="minorHAnsi" w:eastAsiaTheme="minorEastAsia" w:cstheme="minorBidi"/>
          <w:sz w:val="21"/>
          <w:szCs w:val="22"/>
        </w:rPr>
        <w:tab/>
      </w:r>
      <w:r>
        <w:rPr>
          <w:rStyle w:val="54"/>
          <w:rFonts w:hint="eastAsia"/>
        </w:rPr>
        <w:t>技术文件</w:t>
      </w:r>
      <w:r>
        <w:tab/>
      </w:r>
      <w:r>
        <w:fldChar w:fldCharType="begin"/>
      </w:r>
      <w:r>
        <w:instrText xml:space="preserve"> PAGEREF _Toc136164118 \h </w:instrText>
      </w:r>
      <w:r>
        <w:fldChar w:fldCharType="separate"/>
      </w:r>
      <w:r>
        <w:t>11</w:t>
      </w:r>
      <w:r>
        <w:fldChar w:fldCharType="end"/>
      </w:r>
      <w:r>
        <w:fldChar w:fldCharType="end"/>
      </w:r>
    </w:p>
    <w:p>
      <w:pPr>
        <w:pStyle w:val="39"/>
        <w:tabs>
          <w:tab w:val="left" w:pos="1260"/>
          <w:tab w:val="right" w:leader="dot" w:pos="9061"/>
        </w:tabs>
        <w:ind w:left="560"/>
        <w:rPr>
          <w:rFonts w:asciiTheme="minorHAnsi" w:hAnsiTheme="minorHAnsi" w:eastAsiaTheme="minorEastAsia" w:cstheme="minorBidi"/>
          <w:sz w:val="21"/>
          <w:szCs w:val="22"/>
        </w:rPr>
      </w:pPr>
      <w:r>
        <w:fldChar w:fldCharType="begin"/>
      </w:r>
      <w:r>
        <w:instrText xml:space="preserve"> HYPERLINK \l "_Toc136164119" </w:instrText>
      </w:r>
      <w:r>
        <w:fldChar w:fldCharType="separate"/>
      </w:r>
      <w:r>
        <w:rPr>
          <w:rStyle w:val="54"/>
          <w:rFonts w:cs="宋体"/>
        </w:rPr>
        <w:t>9.2.</w:t>
      </w:r>
      <w:r>
        <w:rPr>
          <w:rFonts w:asciiTheme="minorHAnsi" w:hAnsiTheme="minorHAnsi" w:eastAsiaTheme="minorEastAsia" w:cstheme="minorBidi"/>
          <w:sz w:val="21"/>
          <w:szCs w:val="22"/>
        </w:rPr>
        <w:tab/>
      </w:r>
      <w:r>
        <w:rPr>
          <w:rStyle w:val="54"/>
          <w:rFonts w:hint="eastAsia"/>
        </w:rPr>
        <w:t>合格证</w:t>
      </w:r>
      <w:r>
        <w:tab/>
      </w:r>
      <w:r>
        <w:fldChar w:fldCharType="begin"/>
      </w:r>
      <w:r>
        <w:instrText xml:space="preserve"> PAGEREF _Toc136164119 \h </w:instrText>
      </w:r>
      <w:r>
        <w:fldChar w:fldCharType="separate"/>
      </w:r>
      <w:r>
        <w:t>11</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"_Toc136164120" </w:instrText>
      </w:r>
      <w:r>
        <w:fldChar w:fldCharType="separate"/>
      </w:r>
      <w:r>
        <w:rPr>
          <w:rStyle w:val="54"/>
        </w:rPr>
        <w:t>10.</w:t>
      </w:r>
      <w:r>
        <w:rPr>
          <w:rFonts w:asciiTheme="minorHAnsi" w:hAnsiTheme="minorHAnsi" w:eastAsiaTheme="minorEastAsia" w:cstheme="minorBidi"/>
          <w:sz w:val="21"/>
          <w:szCs w:val="22"/>
        </w:rPr>
        <w:tab/>
      </w:r>
      <w:r>
        <w:rPr>
          <w:rStyle w:val="54"/>
          <w:rFonts w:hint="eastAsia"/>
        </w:rPr>
        <w:t>包装及贮存</w:t>
      </w:r>
      <w:r>
        <w:tab/>
      </w:r>
      <w:r>
        <w:fldChar w:fldCharType="begin"/>
      </w:r>
      <w:r>
        <w:instrText xml:space="preserve"> PAGEREF _Toc136164120 \h </w:instrText>
      </w:r>
      <w:r>
        <w:fldChar w:fldCharType="separate"/>
      </w:r>
      <w:r>
        <w:t>11</w:t>
      </w:r>
      <w:r>
        <w:fldChar w:fldCharType="end"/>
      </w:r>
      <w:r>
        <w:fldChar w:fldCharType="end"/>
      </w:r>
    </w:p>
    <w:p>
      <w:pPr>
        <w:pStyle w:val="32"/>
        <w:tabs>
          <w:tab w:val="left" w:pos="840"/>
          <w:tab w:val="right" w:leader="dot" w:pos="9061"/>
        </w:tabs>
        <w:rPr>
          <w:rFonts w:asciiTheme="minorHAnsi" w:hAnsiTheme="minorHAnsi" w:eastAsiaTheme="minorEastAsia" w:cstheme="minorBidi"/>
          <w:sz w:val="21"/>
          <w:szCs w:val="22"/>
        </w:rPr>
      </w:pPr>
      <w:r>
        <w:fldChar w:fldCharType="begin"/>
      </w:r>
      <w:r>
        <w:instrText xml:space="preserve"> HYPERLINK \l "_Toc136164121" </w:instrText>
      </w:r>
      <w:r>
        <w:fldChar w:fldCharType="separate"/>
      </w:r>
      <w:r>
        <w:rPr>
          <w:rStyle w:val="54"/>
        </w:rPr>
        <w:t>11.</w:t>
      </w:r>
      <w:r>
        <w:rPr>
          <w:rFonts w:asciiTheme="minorHAnsi" w:hAnsiTheme="minorHAnsi" w:eastAsiaTheme="minorEastAsia" w:cstheme="minorBidi"/>
          <w:sz w:val="21"/>
          <w:szCs w:val="22"/>
        </w:rPr>
        <w:tab/>
      </w:r>
      <w:r>
        <w:rPr>
          <w:rStyle w:val="54"/>
          <w:rFonts w:hint="eastAsia"/>
        </w:rPr>
        <w:t>其它事项</w:t>
      </w:r>
      <w:r>
        <w:tab/>
      </w:r>
      <w:r>
        <w:fldChar w:fldCharType="begin"/>
      </w:r>
      <w:r>
        <w:instrText xml:space="preserve"> PAGEREF _Toc136164121 \h </w:instrText>
      </w:r>
      <w:r>
        <w:fldChar w:fldCharType="separate"/>
      </w:r>
      <w:r>
        <w:t>12</w:t>
      </w:r>
      <w:r>
        <w:fldChar w:fldCharType="end"/>
      </w:r>
      <w:r>
        <w:fldChar w:fldCharType="end"/>
      </w:r>
    </w:p>
    <w:p>
      <w:pPr>
        <w:pStyle w:val="32"/>
        <w:tabs>
          <w:tab w:val="right" w:leader="dot" w:pos="9061"/>
        </w:tabs>
        <w:rPr>
          <w:rFonts w:asciiTheme="minorHAnsi" w:hAnsiTheme="minorHAnsi" w:eastAsiaTheme="minorEastAsia" w:cstheme="minorBidi"/>
          <w:sz w:val="21"/>
          <w:szCs w:val="22"/>
        </w:rPr>
      </w:pPr>
      <w:r>
        <w:fldChar w:fldCharType="begin"/>
      </w:r>
      <w:r>
        <w:instrText xml:space="preserve"> HYPERLINK \l "_Toc136164122" </w:instrText>
      </w:r>
      <w:r>
        <w:fldChar w:fldCharType="separate"/>
      </w:r>
      <w:r>
        <w:rPr>
          <w:rStyle w:val="54"/>
          <w:rFonts w:hint="eastAsia"/>
        </w:rPr>
        <w:t>附录</w:t>
      </w:r>
      <w:r>
        <w:rPr>
          <w:rStyle w:val="54"/>
        </w:rPr>
        <w:t>1</w:t>
      </w:r>
      <w:r>
        <w:rPr>
          <w:rStyle w:val="54"/>
          <w:rFonts w:hint="eastAsia"/>
        </w:rPr>
        <w:t>：</w:t>
      </w:r>
      <w:r>
        <w:rPr>
          <w:rStyle w:val="54"/>
        </w:rPr>
        <w:t>NTC10K</w:t>
      </w:r>
      <w:r>
        <w:rPr>
          <w:rStyle w:val="54"/>
          <w:rFonts w:hint="eastAsia"/>
        </w:rPr>
        <w:t>温度传感器阻值对应表</w:t>
      </w:r>
      <w:r>
        <w:tab/>
      </w:r>
      <w:r>
        <w:fldChar w:fldCharType="begin"/>
      </w:r>
      <w:r>
        <w:instrText xml:space="preserve"> PAGEREF _Toc136164122 \h </w:instrText>
      </w:r>
      <w:r>
        <w:fldChar w:fldCharType="separate"/>
      </w:r>
      <w:r>
        <w:t>13</w:t>
      </w:r>
      <w:r>
        <w:fldChar w:fldCharType="end"/>
      </w:r>
      <w:r>
        <w:fldChar w:fldCharType="end"/>
      </w:r>
    </w:p>
    <w:p>
      <w:pPr>
        <w:pStyle w:val="32"/>
        <w:tabs>
          <w:tab w:val="right" w:leader="dot" w:pos="9061"/>
        </w:tabs>
        <w:rPr>
          <w:rFonts w:asciiTheme="minorHAnsi" w:hAnsiTheme="minorHAnsi" w:eastAsiaTheme="minorEastAsia" w:cstheme="minorBidi"/>
          <w:sz w:val="21"/>
          <w:szCs w:val="22"/>
        </w:rPr>
      </w:pPr>
      <w:r>
        <w:fldChar w:fldCharType="begin"/>
      </w:r>
      <w:r>
        <w:instrText xml:space="preserve"> HYPERLINK \l "_Toc136164123" </w:instrText>
      </w:r>
      <w:r>
        <w:fldChar w:fldCharType="separate"/>
      </w:r>
      <w:r>
        <w:rPr>
          <w:rStyle w:val="54"/>
          <w:rFonts w:hint="eastAsia"/>
        </w:rPr>
        <w:t>附录</w:t>
      </w:r>
      <w:r>
        <w:rPr>
          <w:rStyle w:val="54"/>
        </w:rPr>
        <w:t>2</w:t>
      </w:r>
      <w:r>
        <w:rPr>
          <w:rStyle w:val="54"/>
          <w:rFonts w:hint="eastAsia"/>
        </w:rPr>
        <w:t>：技术要求</w:t>
      </w:r>
      <w:r>
        <w:tab/>
      </w:r>
      <w:r>
        <w:fldChar w:fldCharType="begin"/>
      </w:r>
      <w:r>
        <w:instrText xml:space="preserve"> PAGEREF _Toc136164123 \h </w:instrText>
      </w:r>
      <w:r>
        <w:fldChar w:fldCharType="separate"/>
      </w:r>
      <w:r>
        <w:t>14</w:t>
      </w:r>
      <w:r>
        <w:fldChar w:fldCharType="end"/>
      </w:r>
      <w:r>
        <w:fldChar w:fldCharType="end"/>
      </w:r>
    </w:p>
    <w:p>
      <w:pPr>
        <w:pStyle w:val="32"/>
        <w:tabs>
          <w:tab w:val="right" w:leader="dot" w:pos="9061"/>
        </w:tabs>
        <w:rPr>
          <w:rFonts w:asciiTheme="minorHAnsi" w:hAnsiTheme="minorHAnsi" w:eastAsiaTheme="minorEastAsia" w:cstheme="minorBidi"/>
          <w:sz w:val="21"/>
          <w:szCs w:val="22"/>
        </w:rPr>
      </w:pPr>
      <w:r>
        <w:fldChar w:fldCharType="begin"/>
      </w:r>
      <w:r>
        <w:instrText xml:space="preserve"> HYPERLINK \l "_Toc136164124" </w:instrText>
      </w:r>
      <w:r>
        <w:fldChar w:fldCharType="separate"/>
      </w:r>
      <w:r>
        <w:rPr>
          <w:rStyle w:val="54"/>
          <w:rFonts w:hint="eastAsia"/>
        </w:rPr>
        <w:t>附录</w:t>
      </w:r>
      <w:r>
        <w:rPr>
          <w:rStyle w:val="54"/>
        </w:rPr>
        <w:t>3</w:t>
      </w:r>
      <w:r>
        <w:rPr>
          <w:rStyle w:val="54"/>
          <w:rFonts w:hint="eastAsia"/>
        </w:rPr>
        <w:t>：外形尺寸图</w:t>
      </w:r>
      <w:r>
        <w:tab/>
      </w:r>
      <w:r>
        <w:fldChar w:fldCharType="begin"/>
      </w:r>
      <w:r>
        <w:instrText xml:space="preserve"> PAGEREF _Toc136164124 \h </w:instrText>
      </w:r>
      <w:r>
        <w:fldChar w:fldCharType="separate"/>
      </w:r>
      <w:r>
        <w:t>15</w:t>
      </w:r>
      <w:r>
        <w:fldChar w:fldCharType="end"/>
      </w:r>
      <w:r>
        <w:fldChar w:fldCharType="end"/>
      </w:r>
    </w:p>
    <w:p>
      <w:pPr>
        <w:pStyle w:val="32"/>
        <w:tabs>
          <w:tab w:val="right" w:leader="dot" w:pos="9061"/>
        </w:tabs>
        <w:rPr>
          <w:rFonts w:asciiTheme="minorHAnsi" w:hAnsiTheme="minorHAnsi" w:eastAsiaTheme="minorEastAsia" w:cstheme="minorBidi"/>
          <w:sz w:val="21"/>
          <w:szCs w:val="22"/>
        </w:rPr>
      </w:pPr>
      <w:r>
        <w:fldChar w:fldCharType="begin"/>
      </w:r>
      <w:r>
        <w:instrText xml:space="preserve"> HYPERLINK \l "_Toc136164125" </w:instrText>
      </w:r>
      <w:r>
        <w:fldChar w:fldCharType="separate"/>
      </w:r>
      <w:r>
        <w:rPr>
          <w:rStyle w:val="54"/>
          <w:rFonts w:hint="eastAsia"/>
        </w:rPr>
        <w:t>附录</w:t>
      </w:r>
      <w:r>
        <w:rPr>
          <w:rStyle w:val="54"/>
        </w:rPr>
        <w:t>4</w:t>
      </w:r>
      <w:r>
        <w:rPr>
          <w:rStyle w:val="54"/>
          <w:rFonts w:hint="eastAsia"/>
        </w:rPr>
        <w:t>：端子定义</w:t>
      </w:r>
      <w:r>
        <w:tab/>
      </w:r>
      <w:r>
        <w:fldChar w:fldCharType="begin"/>
      </w:r>
      <w:r>
        <w:instrText xml:space="preserve"> PAGEREF _Toc136164125 \h </w:instrText>
      </w:r>
      <w:r>
        <w:fldChar w:fldCharType="separate"/>
      </w:r>
      <w:r>
        <w:t>16</w:t>
      </w:r>
      <w:r>
        <w:fldChar w:fldCharType="end"/>
      </w:r>
      <w:r>
        <w:fldChar w:fldCharType="end"/>
      </w:r>
    </w:p>
    <w:p>
      <w:pPr>
        <w:pStyle w:val="32"/>
        <w:tabs>
          <w:tab w:val="right" w:leader="dot" w:pos="9061"/>
        </w:tabs>
        <w:rPr>
          <w:rFonts w:asciiTheme="minorHAnsi" w:hAnsiTheme="minorHAnsi" w:eastAsiaTheme="minorEastAsia" w:cstheme="minorBidi"/>
          <w:sz w:val="21"/>
          <w:szCs w:val="22"/>
        </w:rPr>
      </w:pPr>
      <w:r>
        <w:fldChar w:fldCharType="begin"/>
      </w:r>
      <w:r>
        <w:instrText xml:space="preserve"> HYPERLINK \l "_Toc136164126" </w:instrText>
      </w:r>
      <w:r>
        <w:fldChar w:fldCharType="separate"/>
      </w:r>
      <w:r>
        <w:rPr>
          <w:rStyle w:val="54"/>
          <w:rFonts w:hint="eastAsia"/>
        </w:rPr>
        <w:t>附录</w:t>
      </w:r>
      <w:r>
        <w:rPr>
          <w:rStyle w:val="54"/>
        </w:rPr>
        <w:t>5</w:t>
      </w:r>
      <w:r>
        <w:rPr>
          <w:rStyle w:val="54"/>
          <w:rFonts w:hint="eastAsia"/>
        </w:rPr>
        <w:t>：通讯协议</w:t>
      </w:r>
      <w:r>
        <w:tab/>
      </w:r>
      <w:r>
        <w:fldChar w:fldCharType="begin"/>
      </w:r>
      <w:r>
        <w:instrText xml:space="preserve"> PAGEREF _Toc136164126 \h </w:instrText>
      </w:r>
      <w:r>
        <w:fldChar w:fldCharType="separate"/>
      </w:r>
      <w:r>
        <w:t>22</w:t>
      </w:r>
      <w:r>
        <w:fldChar w:fldCharType="end"/>
      </w:r>
      <w:r>
        <w:fldChar w:fldCharType="end"/>
      </w:r>
    </w:p>
    <w:p>
      <w:pPr>
        <w:spacing w:before="240" w:beforeLines="100" w:after="120" w:afterLines="50" w:line="400" w:lineRule="exact"/>
        <w:ind w:firstLine="420" w:firstLineChars="200"/>
        <w:rPr>
          <w:rFonts w:ascii="宋体" w:hAnsi="宋体" w:cs="宋体"/>
          <w:sz w:val="24"/>
          <w:highlight w:val="yellow"/>
        </w:rPr>
      </w:pPr>
      <w:r>
        <w:rPr>
          <w:rFonts w:hint="eastAsia" w:ascii="宋体" w:hAnsi="宋体" w:cs="宋体"/>
          <w:highlight w:val="yellow"/>
        </w:rPr>
        <w:fldChar w:fldCharType="end"/>
      </w:r>
    </w:p>
    <w:p>
      <w:pPr>
        <w:spacing w:before="240" w:beforeLines="100" w:after="120" w:afterLines="50" w:line="400" w:lineRule="exact"/>
        <w:ind w:firstLine="480" w:firstLineChars="200"/>
        <w:rPr>
          <w:rFonts w:ascii="宋体" w:hAnsi="宋体" w:cs="宋体"/>
          <w:sz w:val="24"/>
          <w:highlight w:val="yellow"/>
        </w:rPr>
      </w:pPr>
    </w:p>
    <w:p>
      <w:pPr>
        <w:pStyle w:val="2"/>
        <w:tabs>
          <w:tab w:val="left" w:pos="397"/>
        </w:tabs>
        <w:spacing w:before="240" w:after="120"/>
      </w:pPr>
      <w:bookmarkStart w:id="118" w:name="_Toc136164093"/>
      <w:r>
        <w:t>主题</w:t>
      </w:r>
      <w:bookmarkEnd w:id="118"/>
    </w:p>
    <w:p>
      <w:pPr>
        <w:ind w:firstLine="480"/>
      </w:pPr>
      <w:r>
        <w:t>本技术条件规定</w:t>
      </w:r>
      <w:r>
        <w:rPr>
          <w:rFonts w:hint="eastAsia"/>
        </w:rPr>
        <w:t>了IO模块KIO</w:t>
      </w:r>
      <w:r>
        <w:t>0</w:t>
      </w:r>
      <w:r>
        <w:rPr>
          <w:rFonts w:hint="eastAsia"/>
        </w:rPr>
        <w:t>4-</w:t>
      </w:r>
      <w:r>
        <w:t>01（以下简称KIO）的技术、试验等要求</w:t>
      </w:r>
      <w:r>
        <w:rPr>
          <w:rFonts w:hint="eastAsia"/>
        </w:rPr>
        <w:t>，</w:t>
      </w:r>
      <w:r>
        <w:t>适用于KIO0</w:t>
      </w:r>
      <w:r>
        <w:rPr>
          <w:rFonts w:hint="eastAsia"/>
        </w:rPr>
        <w:t>4</w:t>
      </w:r>
      <w:r>
        <w:t>-01</w:t>
      </w:r>
      <w:r>
        <w:rPr>
          <w:rFonts w:hint="eastAsia"/>
        </w:rPr>
        <w:t>型</w:t>
      </w:r>
      <w:r>
        <w:t>控制器的订货和检查验收。</w:t>
      </w:r>
    </w:p>
    <w:p>
      <w:pPr>
        <w:ind w:firstLine="480"/>
      </w:pPr>
      <w:r>
        <w:rPr>
          <w:rFonts w:hint="eastAsia"/>
        </w:rPr>
        <w:t>供货清单：</w:t>
      </w:r>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r>
        <w:rPr>
          <w:rFonts w:hint="eastAsia"/>
        </w:rPr>
        <w:t xml:space="preserve"> 适用产品范围</w:t>
      </w:r>
    </w:p>
    <w:tbl>
      <w:tblPr>
        <w:tblStyle w:val="61"/>
        <w:tblW w:w="85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1"/>
        <w:gridCol w:w="2413"/>
        <w:gridCol w:w="198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Pr>
          <w:p>
            <w:pPr>
              <w:keepNext w:val="0"/>
              <w:keepLines w:val="0"/>
              <w:suppressLineNumbers w:val="0"/>
              <w:spacing w:before="0" w:beforeAutospacing="0" w:after="0" w:afterAutospacing="0"/>
              <w:ind w:left="0" w:right="0"/>
              <w:jc w:val="center"/>
              <w:rPr>
                <w:rFonts w:hint="default"/>
                <w:szCs w:val="20"/>
              </w:rPr>
            </w:pPr>
            <w:r>
              <w:rPr>
                <w:rFonts w:hint="default"/>
                <w:szCs w:val="20"/>
              </w:rPr>
              <w:t>序号</w:t>
            </w:r>
          </w:p>
        </w:tc>
        <w:tc>
          <w:tcPr>
            <w:tcW w:w="1701" w:type="dxa"/>
          </w:tcPr>
          <w:p>
            <w:pPr>
              <w:keepNext w:val="0"/>
              <w:keepLines w:val="0"/>
              <w:suppressLineNumbers w:val="0"/>
              <w:spacing w:before="0" w:beforeAutospacing="0" w:after="0" w:afterAutospacing="0"/>
              <w:ind w:left="0" w:right="0"/>
              <w:jc w:val="center"/>
              <w:rPr>
                <w:rFonts w:hint="default"/>
                <w:szCs w:val="20"/>
              </w:rPr>
            </w:pPr>
            <w:r>
              <w:rPr>
                <w:rFonts w:hint="eastAsia"/>
                <w:szCs w:val="20"/>
              </w:rPr>
              <w:t>物料名称</w:t>
            </w:r>
          </w:p>
        </w:tc>
        <w:tc>
          <w:tcPr>
            <w:tcW w:w="2413" w:type="dxa"/>
          </w:tcPr>
          <w:p>
            <w:pPr>
              <w:keepNext w:val="0"/>
              <w:keepLines w:val="0"/>
              <w:suppressLineNumbers w:val="0"/>
              <w:spacing w:before="0" w:beforeAutospacing="0" w:after="0" w:afterAutospacing="0"/>
              <w:ind w:left="0" w:right="0"/>
              <w:jc w:val="center"/>
              <w:rPr>
                <w:rFonts w:hint="default"/>
                <w:szCs w:val="20"/>
              </w:rPr>
            </w:pPr>
            <w:r>
              <w:rPr>
                <w:rFonts w:hint="eastAsia"/>
                <w:szCs w:val="20"/>
              </w:rPr>
              <w:t>型号</w:t>
            </w:r>
          </w:p>
        </w:tc>
        <w:tc>
          <w:tcPr>
            <w:tcW w:w="1985" w:type="dxa"/>
          </w:tcPr>
          <w:p>
            <w:pPr>
              <w:keepNext w:val="0"/>
              <w:keepLines w:val="0"/>
              <w:suppressLineNumbers w:val="0"/>
              <w:spacing w:before="0" w:beforeAutospacing="0" w:after="0" w:afterAutospacing="0"/>
              <w:ind w:left="0" w:right="0"/>
              <w:jc w:val="center"/>
              <w:rPr>
                <w:rFonts w:hint="default"/>
                <w:szCs w:val="20"/>
              </w:rPr>
            </w:pPr>
            <w:r>
              <w:rPr>
                <w:rFonts w:hint="eastAsia"/>
                <w:szCs w:val="20"/>
              </w:rPr>
              <w:t>物料代码</w:t>
            </w:r>
          </w:p>
        </w:tc>
        <w:tc>
          <w:tcPr>
            <w:tcW w:w="1697" w:type="dxa"/>
          </w:tcPr>
          <w:p>
            <w:pPr>
              <w:keepNext w:val="0"/>
              <w:keepLines w:val="0"/>
              <w:suppressLineNumbers w:val="0"/>
              <w:spacing w:before="0" w:beforeAutospacing="0" w:after="0" w:afterAutospacing="0"/>
              <w:ind w:left="0" w:right="0"/>
              <w:jc w:val="center"/>
              <w:rPr>
                <w:rFonts w:hint="default"/>
                <w:szCs w:val="20"/>
              </w:rPr>
            </w:pPr>
            <w:r>
              <w:rPr>
                <w:rFonts w:hint="eastAsia"/>
                <w:szCs w:val="20"/>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4" w:type="dxa"/>
          </w:tcPr>
          <w:p>
            <w:pPr>
              <w:pStyle w:val="203"/>
              <w:keepNext w:val="0"/>
              <w:keepLines w:val="0"/>
              <w:numPr>
                <w:ilvl w:val="0"/>
                <w:numId w:val="11"/>
              </w:numPr>
              <w:suppressLineNumbers w:val="0"/>
              <w:spacing w:before="0" w:beforeAutospacing="0" w:after="0" w:afterAutospacing="0"/>
              <w:ind w:right="0"/>
              <w:jc w:val="center"/>
              <w:rPr>
                <w:rFonts w:hint="default"/>
              </w:rPr>
            </w:pPr>
          </w:p>
        </w:tc>
        <w:tc>
          <w:tcPr>
            <w:tcW w:w="1701" w:type="dxa"/>
          </w:tcPr>
          <w:p>
            <w:pPr>
              <w:keepNext w:val="0"/>
              <w:keepLines w:val="0"/>
              <w:suppressLineNumbers w:val="0"/>
              <w:spacing w:before="0" w:beforeAutospacing="0" w:after="0" w:afterAutospacing="0"/>
              <w:ind w:left="0" w:right="0"/>
              <w:jc w:val="center"/>
              <w:rPr>
                <w:rFonts w:hint="default"/>
                <w:szCs w:val="20"/>
              </w:rPr>
            </w:pPr>
            <w:r>
              <w:rPr>
                <w:rFonts w:hint="eastAsia"/>
                <w:szCs w:val="20"/>
              </w:rPr>
              <w:t>IO模块</w:t>
            </w:r>
          </w:p>
        </w:tc>
        <w:tc>
          <w:tcPr>
            <w:tcW w:w="2413" w:type="dxa"/>
          </w:tcPr>
          <w:p>
            <w:pPr>
              <w:keepNext w:val="0"/>
              <w:keepLines w:val="0"/>
              <w:suppressLineNumbers w:val="0"/>
              <w:spacing w:before="0" w:beforeAutospacing="0" w:after="0" w:afterAutospacing="0"/>
              <w:ind w:left="0" w:right="0"/>
              <w:jc w:val="center"/>
              <w:rPr>
                <w:rFonts w:hint="default"/>
                <w:szCs w:val="20"/>
              </w:rPr>
            </w:pPr>
            <w:r>
              <w:rPr>
                <w:rFonts w:hint="default"/>
                <w:szCs w:val="20"/>
              </w:rPr>
              <w:t>K</w:t>
            </w:r>
            <w:r>
              <w:rPr>
                <w:rFonts w:hint="eastAsia"/>
                <w:szCs w:val="20"/>
              </w:rPr>
              <w:t>IO04-01</w:t>
            </w:r>
          </w:p>
        </w:tc>
        <w:tc>
          <w:tcPr>
            <w:tcW w:w="1985" w:type="dxa"/>
          </w:tcPr>
          <w:p>
            <w:pPr>
              <w:keepNext w:val="0"/>
              <w:keepLines w:val="0"/>
              <w:suppressLineNumbers w:val="0"/>
              <w:spacing w:before="0" w:beforeAutospacing="0" w:after="0" w:afterAutospacing="0"/>
              <w:ind w:left="0" w:right="0"/>
              <w:jc w:val="center"/>
              <w:rPr>
                <w:rFonts w:hint="default"/>
                <w:szCs w:val="20"/>
              </w:rPr>
            </w:pPr>
            <w:r>
              <w:rPr>
                <w:rFonts w:hint="default"/>
                <w:szCs w:val="20"/>
              </w:rPr>
              <w:t>2.02.2</w:t>
            </w:r>
            <w:r>
              <w:rPr>
                <w:rFonts w:hint="eastAsia"/>
                <w:szCs w:val="20"/>
              </w:rPr>
              <w:t>4</w:t>
            </w:r>
            <w:r>
              <w:rPr>
                <w:rFonts w:hint="default"/>
                <w:szCs w:val="20"/>
              </w:rPr>
              <w:t>.0</w:t>
            </w:r>
            <w:r>
              <w:rPr>
                <w:rFonts w:hint="eastAsia"/>
                <w:szCs w:val="20"/>
              </w:rPr>
              <w:t>461</w:t>
            </w:r>
          </w:p>
        </w:tc>
        <w:tc>
          <w:tcPr>
            <w:tcW w:w="1697" w:type="dxa"/>
          </w:tcPr>
          <w:p>
            <w:pPr>
              <w:keepNext w:val="0"/>
              <w:keepLines w:val="0"/>
              <w:suppressLineNumbers w:val="0"/>
              <w:spacing w:before="0" w:beforeAutospacing="0" w:after="0" w:afterAutospacing="0"/>
              <w:ind w:left="0" w:right="0"/>
              <w:jc w:val="center"/>
              <w:rPr>
                <w:rFonts w:hint="default"/>
                <w:szCs w:val="20"/>
              </w:rPr>
            </w:pPr>
            <w:r>
              <w:rPr>
                <w:rFonts w:hint="default"/>
                <w:szCs w:val="20"/>
              </w:rPr>
              <w:t>P97K00</w:t>
            </w:r>
            <w:r>
              <w:rPr>
                <w:rFonts w:hint="eastAsia"/>
                <w:szCs w:val="20"/>
              </w:rPr>
              <w:t>82</w:t>
            </w:r>
          </w:p>
        </w:tc>
      </w:tr>
    </w:tbl>
    <w:p>
      <w:pPr>
        <w:pStyle w:val="2"/>
        <w:tabs>
          <w:tab w:val="left" w:pos="397"/>
        </w:tabs>
        <w:spacing w:before="240" w:after="120"/>
      </w:pPr>
      <w:bookmarkStart w:id="119" w:name="_Toc136164094"/>
      <w:r>
        <w:rPr>
          <w:rFonts w:hint="eastAsia"/>
        </w:rPr>
        <w:t>供货范围</w:t>
      </w:r>
      <w:bookmarkEnd w:id="119"/>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w:t>
      </w:r>
      <w:r>
        <w:fldChar w:fldCharType="end"/>
      </w:r>
      <w:r>
        <w:rPr>
          <w:rFonts w:hint="eastAsia"/>
        </w:rPr>
        <w:t xml:space="preserve"> KPCIO0</w:t>
      </w:r>
      <w:r>
        <w:rPr>
          <w:rFonts w:hint="eastAsia"/>
          <w:lang w:eastAsia="zh-CN"/>
        </w:rPr>
        <w:t>4</w:t>
      </w:r>
      <w:r>
        <w:rPr>
          <w:rFonts w:hint="eastAsia"/>
        </w:rPr>
        <w:t>-01（2.02.24.046</w:t>
      </w:r>
      <w:r>
        <w:rPr>
          <w:rFonts w:hint="eastAsia"/>
          <w:lang w:eastAsia="zh-CN"/>
        </w:rPr>
        <w:t>1</w:t>
      </w:r>
      <w:r>
        <w:rPr>
          <w:rFonts w:hint="eastAsia"/>
        </w:rPr>
        <w:t>)型IO模块供货范围</w:t>
      </w:r>
    </w:p>
    <w:tbl>
      <w:tblPr>
        <w:tblStyle w:val="61"/>
        <w:tblW w:w="850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5"/>
        <w:gridCol w:w="3119"/>
        <w:gridCol w:w="850"/>
        <w:gridCol w:w="85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jc w:val="center"/>
              <w:rPr>
                <w:rFonts w:hint="default"/>
                <w:sz w:val="24"/>
                <w:szCs w:val="20"/>
              </w:rPr>
            </w:pPr>
            <w:r>
              <w:rPr>
                <w:rFonts w:hint="default"/>
                <w:sz w:val="24"/>
                <w:szCs w:val="20"/>
              </w:rPr>
              <w:t>序号</w:t>
            </w:r>
          </w:p>
        </w:tc>
        <w:tc>
          <w:tcPr>
            <w:tcW w:w="1275" w:type="dxa"/>
          </w:tcPr>
          <w:p>
            <w:pPr>
              <w:keepNext w:val="0"/>
              <w:keepLines w:val="0"/>
              <w:suppressLineNumbers w:val="0"/>
              <w:spacing w:before="0" w:beforeAutospacing="0" w:after="0" w:afterAutospacing="0"/>
              <w:ind w:left="0" w:right="0"/>
              <w:jc w:val="center"/>
              <w:rPr>
                <w:rFonts w:hint="default"/>
                <w:sz w:val="24"/>
                <w:szCs w:val="20"/>
              </w:rPr>
            </w:pPr>
            <w:r>
              <w:rPr>
                <w:rFonts w:hint="default"/>
                <w:sz w:val="24"/>
                <w:szCs w:val="20"/>
              </w:rPr>
              <w:t>名称</w:t>
            </w:r>
          </w:p>
        </w:tc>
        <w:tc>
          <w:tcPr>
            <w:tcW w:w="3119" w:type="dxa"/>
          </w:tcPr>
          <w:p>
            <w:pPr>
              <w:keepNext w:val="0"/>
              <w:keepLines w:val="0"/>
              <w:suppressLineNumbers w:val="0"/>
              <w:spacing w:before="0" w:beforeAutospacing="0" w:after="0" w:afterAutospacing="0"/>
              <w:ind w:left="0" w:right="0"/>
              <w:jc w:val="center"/>
              <w:rPr>
                <w:rFonts w:hint="default"/>
                <w:sz w:val="24"/>
                <w:szCs w:val="20"/>
              </w:rPr>
            </w:pPr>
            <w:r>
              <w:rPr>
                <w:rFonts w:hint="default"/>
                <w:sz w:val="24"/>
                <w:szCs w:val="20"/>
              </w:rPr>
              <w:t>规格型号</w:t>
            </w:r>
          </w:p>
        </w:tc>
        <w:tc>
          <w:tcPr>
            <w:tcW w:w="850" w:type="dxa"/>
          </w:tcPr>
          <w:p>
            <w:pPr>
              <w:keepNext w:val="0"/>
              <w:keepLines w:val="0"/>
              <w:suppressLineNumbers w:val="0"/>
              <w:spacing w:before="0" w:beforeAutospacing="0" w:after="0" w:afterAutospacing="0"/>
              <w:ind w:left="0" w:right="0"/>
              <w:jc w:val="center"/>
              <w:rPr>
                <w:rFonts w:hint="default"/>
                <w:sz w:val="24"/>
                <w:szCs w:val="20"/>
              </w:rPr>
            </w:pPr>
            <w:r>
              <w:rPr>
                <w:rFonts w:hint="default"/>
                <w:sz w:val="24"/>
                <w:szCs w:val="20"/>
              </w:rPr>
              <w:t>芯数</w:t>
            </w:r>
          </w:p>
        </w:tc>
        <w:tc>
          <w:tcPr>
            <w:tcW w:w="851" w:type="dxa"/>
          </w:tcPr>
          <w:p>
            <w:pPr>
              <w:keepNext w:val="0"/>
              <w:keepLines w:val="0"/>
              <w:suppressLineNumbers w:val="0"/>
              <w:spacing w:before="0" w:beforeAutospacing="0" w:after="0" w:afterAutospacing="0"/>
              <w:ind w:left="0" w:right="0"/>
              <w:rPr>
                <w:rFonts w:hint="default"/>
                <w:sz w:val="24"/>
                <w:szCs w:val="20"/>
              </w:rPr>
            </w:pPr>
            <w:r>
              <w:rPr>
                <w:rFonts w:hint="default"/>
                <w:sz w:val="24"/>
                <w:szCs w:val="20"/>
              </w:rPr>
              <w:t>数量</w:t>
            </w:r>
          </w:p>
        </w:tc>
        <w:tc>
          <w:tcPr>
            <w:tcW w:w="1701" w:type="dxa"/>
          </w:tcPr>
          <w:p>
            <w:pPr>
              <w:keepNext w:val="0"/>
              <w:keepLines w:val="0"/>
              <w:suppressLineNumbers w:val="0"/>
              <w:spacing w:before="0" w:beforeAutospacing="0" w:after="0" w:afterAutospacing="0"/>
              <w:ind w:left="0" w:right="0"/>
              <w:jc w:val="center"/>
              <w:rPr>
                <w:rFonts w:hint="default"/>
                <w:sz w:val="24"/>
                <w:szCs w:val="20"/>
              </w:rPr>
            </w:pPr>
            <w:r>
              <w:rPr>
                <w:rFonts w:hint="default"/>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1.</w:t>
            </w:r>
          </w:p>
        </w:tc>
        <w:tc>
          <w:tcPr>
            <w:tcW w:w="1275"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IO模块</w:t>
            </w:r>
          </w:p>
        </w:tc>
        <w:tc>
          <w:tcPr>
            <w:tcW w:w="3119"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KIO04-01</w:t>
            </w:r>
          </w:p>
        </w:tc>
        <w:tc>
          <w:tcPr>
            <w:tcW w:w="850"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w:t>
            </w:r>
          </w:p>
        </w:tc>
        <w:tc>
          <w:tcPr>
            <w:tcW w:w="851"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1</w:t>
            </w:r>
          </w:p>
        </w:tc>
        <w:tc>
          <w:tcPr>
            <w:tcW w:w="1701" w:type="dxa"/>
          </w:tcPr>
          <w:p>
            <w:pPr>
              <w:keepNext w:val="0"/>
              <w:keepLines w:val="0"/>
              <w:suppressLineNumbers w:val="0"/>
              <w:spacing w:before="0" w:beforeAutospacing="0" w:after="0" w:afterAutospacing="0"/>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09" w:type="dxa"/>
            <w:vMerge w:val="restart"/>
            <w:vAlign w:val="center"/>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2.</w:t>
            </w:r>
          </w:p>
        </w:tc>
        <w:tc>
          <w:tcPr>
            <w:tcW w:w="1275" w:type="dxa"/>
            <w:vMerge w:val="restart"/>
            <w:vAlign w:val="center"/>
          </w:tcPr>
          <w:p>
            <w:pPr>
              <w:keepNext w:val="0"/>
              <w:keepLines w:val="0"/>
              <w:suppressLineNumbers w:val="0"/>
              <w:spacing w:before="0" w:beforeAutospacing="0" w:after="0" w:afterAutospacing="0"/>
              <w:ind w:left="0" w:right="0"/>
              <w:jc w:val="center"/>
              <w:rPr>
                <w:rFonts w:hint="default"/>
                <w:sz w:val="24"/>
                <w:szCs w:val="20"/>
              </w:rPr>
            </w:pPr>
            <w:r>
              <w:rPr>
                <w:rFonts w:hint="default"/>
                <w:sz w:val="24"/>
                <w:szCs w:val="20"/>
              </w:rPr>
              <w:t>配套连接器插头</w:t>
            </w:r>
          </w:p>
        </w:tc>
        <w:tc>
          <w:tcPr>
            <w:tcW w:w="3119" w:type="dxa"/>
          </w:tcPr>
          <w:p>
            <w:pPr>
              <w:keepNext w:val="0"/>
              <w:keepLines w:val="0"/>
              <w:suppressLineNumbers w:val="0"/>
              <w:spacing w:before="0" w:beforeAutospacing="0" w:after="0" w:afterAutospacing="0"/>
              <w:ind w:left="0" w:right="0"/>
              <w:jc w:val="center"/>
              <w:rPr>
                <w:rFonts w:hint="default"/>
                <w:sz w:val="24"/>
                <w:szCs w:val="20"/>
              </w:rPr>
            </w:pPr>
            <w:r>
              <w:rPr>
                <w:rFonts w:hint="eastAsia" w:asciiTheme="minorEastAsia" w:hAnsiTheme="minorEastAsia" w:eastAsiaTheme="minorEastAsia"/>
                <w:sz w:val="24"/>
                <w:szCs w:val="20"/>
              </w:rPr>
              <w:t>34p防水连接器-线端-母头  （TE  4-1437290-1）</w:t>
            </w:r>
          </w:p>
        </w:tc>
        <w:tc>
          <w:tcPr>
            <w:tcW w:w="850"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3</w:t>
            </w:r>
            <w:r>
              <w:rPr>
                <w:rFonts w:hint="default"/>
                <w:sz w:val="24"/>
                <w:szCs w:val="20"/>
              </w:rPr>
              <w:t>4</w:t>
            </w:r>
          </w:p>
        </w:tc>
        <w:tc>
          <w:tcPr>
            <w:tcW w:w="851"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1</w:t>
            </w:r>
          </w:p>
        </w:tc>
        <w:tc>
          <w:tcPr>
            <w:tcW w:w="1701" w:type="dxa"/>
          </w:tcPr>
          <w:p>
            <w:pPr>
              <w:keepNext w:val="0"/>
              <w:keepLines w:val="0"/>
              <w:suppressLineNumbers w:val="0"/>
              <w:spacing w:before="0" w:beforeAutospacing="0" w:after="0" w:afterAutospacing="0"/>
              <w:ind w:left="0" w:right="0"/>
              <w:rPr>
                <w:rFonts w:hint="default"/>
                <w:sz w:val="24"/>
                <w:szCs w:val="20"/>
              </w:rPr>
            </w:pPr>
            <w:r>
              <w:rPr>
                <w:rFonts w:hint="eastAsia"/>
                <w:sz w:val="24"/>
                <w:szCs w:val="20"/>
              </w:rPr>
              <w:t>X</w:t>
            </w:r>
            <w:r>
              <w:rPr>
                <w:rFonts w:hint="default"/>
                <w:sz w:val="24"/>
                <w:szCs w:val="20"/>
              </w:rPr>
              <w:t>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jc w:val="center"/>
              <w:rPr>
                <w:rFonts w:hint="default"/>
                <w:sz w:val="24"/>
                <w:szCs w:val="20"/>
              </w:rPr>
            </w:pPr>
          </w:p>
        </w:tc>
        <w:tc>
          <w:tcPr>
            <w:tcW w:w="1275" w:type="dxa"/>
            <w:vMerge w:val="continue"/>
          </w:tcPr>
          <w:p>
            <w:pPr>
              <w:keepNext w:val="0"/>
              <w:keepLines w:val="0"/>
              <w:suppressLineNumbers w:val="0"/>
              <w:spacing w:before="0" w:beforeAutospacing="0" w:after="0" w:afterAutospacing="0"/>
              <w:ind w:left="0" w:right="0"/>
              <w:jc w:val="center"/>
              <w:rPr>
                <w:rFonts w:hint="default"/>
                <w:sz w:val="24"/>
                <w:szCs w:val="20"/>
              </w:rPr>
            </w:pPr>
          </w:p>
        </w:tc>
        <w:tc>
          <w:tcPr>
            <w:tcW w:w="3119" w:type="dxa"/>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 w:val="24"/>
                <w:szCs w:val="20"/>
              </w:rPr>
            </w:pPr>
            <w:r>
              <w:rPr>
                <w:rFonts w:hint="eastAsia" w:asciiTheme="minorEastAsia" w:hAnsiTheme="minorEastAsia" w:eastAsiaTheme="minorEastAsia"/>
                <w:sz w:val="24"/>
                <w:szCs w:val="20"/>
              </w:rPr>
              <w:t>26p防水连接器-线端-母头</w:t>
            </w:r>
          </w:p>
          <w:p>
            <w:pPr>
              <w:keepNext w:val="0"/>
              <w:keepLines w:val="0"/>
              <w:suppressLineNumbers w:val="0"/>
              <w:spacing w:before="0" w:beforeAutospacing="0" w:after="0" w:afterAutospacing="0"/>
              <w:ind w:left="0" w:right="0"/>
              <w:jc w:val="center"/>
              <w:rPr>
                <w:rFonts w:hint="default"/>
                <w:sz w:val="24"/>
                <w:szCs w:val="20"/>
              </w:rPr>
            </w:pPr>
            <w:r>
              <w:rPr>
                <w:rFonts w:hint="eastAsia" w:asciiTheme="minorEastAsia" w:hAnsiTheme="minorEastAsia" w:eastAsiaTheme="minorEastAsia"/>
                <w:sz w:val="24"/>
                <w:szCs w:val="20"/>
              </w:rPr>
              <w:t xml:space="preserve">（TE  1473416-1） </w:t>
            </w:r>
          </w:p>
        </w:tc>
        <w:tc>
          <w:tcPr>
            <w:tcW w:w="850"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2</w:t>
            </w:r>
            <w:r>
              <w:rPr>
                <w:rFonts w:hint="default"/>
                <w:sz w:val="24"/>
                <w:szCs w:val="20"/>
              </w:rPr>
              <w:t>6</w:t>
            </w:r>
          </w:p>
        </w:tc>
        <w:tc>
          <w:tcPr>
            <w:tcW w:w="851"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1</w:t>
            </w:r>
          </w:p>
        </w:tc>
        <w:tc>
          <w:tcPr>
            <w:tcW w:w="1701" w:type="dxa"/>
          </w:tcPr>
          <w:p>
            <w:pPr>
              <w:keepNext w:val="0"/>
              <w:keepLines w:val="0"/>
              <w:suppressLineNumbers w:val="0"/>
              <w:spacing w:before="0" w:beforeAutospacing="0" w:after="0" w:afterAutospacing="0"/>
              <w:ind w:left="0" w:right="0"/>
              <w:rPr>
                <w:rFonts w:hint="default"/>
                <w:sz w:val="24"/>
                <w:szCs w:val="20"/>
              </w:rPr>
            </w:pPr>
            <w:r>
              <w:rPr>
                <w:rFonts w:hint="eastAsia"/>
                <w:sz w:val="24"/>
                <w:szCs w:val="20"/>
              </w:rPr>
              <w:t>X</w:t>
            </w:r>
            <w:r>
              <w:rPr>
                <w:rFonts w:hint="default"/>
                <w:sz w:val="24"/>
                <w:szCs w:val="20"/>
              </w:rPr>
              <w:t>S</w:t>
            </w:r>
            <w:r>
              <w:rPr>
                <w:rFonts w:hint="eastAsia"/>
                <w:sz w:val="24"/>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9" w:type="dxa"/>
            <w:vMerge w:val="continue"/>
          </w:tcPr>
          <w:p>
            <w:pPr>
              <w:keepNext w:val="0"/>
              <w:keepLines w:val="0"/>
              <w:suppressLineNumbers w:val="0"/>
              <w:spacing w:before="0" w:beforeAutospacing="0" w:after="0" w:afterAutospacing="0"/>
              <w:ind w:left="0" w:right="0"/>
              <w:jc w:val="center"/>
              <w:rPr>
                <w:rFonts w:hint="default"/>
                <w:sz w:val="24"/>
                <w:szCs w:val="20"/>
              </w:rPr>
            </w:pPr>
          </w:p>
        </w:tc>
        <w:tc>
          <w:tcPr>
            <w:tcW w:w="1275" w:type="dxa"/>
            <w:vMerge w:val="continue"/>
          </w:tcPr>
          <w:p>
            <w:pPr>
              <w:keepNext w:val="0"/>
              <w:keepLines w:val="0"/>
              <w:suppressLineNumbers w:val="0"/>
              <w:spacing w:before="0" w:beforeAutospacing="0" w:after="0" w:afterAutospacing="0"/>
              <w:ind w:left="0" w:right="0"/>
              <w:jc w:val="center"/>
              <w:rPr>
                <w:rFonts w:hint="default"/>
                <w:sz w:val="24"/>
                <w:szCs w:val="20"/>
              </w:rPr>
            </w:pPr>
          </w:p>
        </w:tc>
        <w:tc>
          <w:tcPr>
            <w:tcW w:w="3119" w:type="dxa"/>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 w:val="24"/>
                <w:szCs w:val="20"/>
              </w:rPr>
            </w:pPr>
            <w:r>
              <w:rPr>
                <w:rFonts w:hint="eastAsia" w:asciiTheme="minorEastAsia" w:hAnsiTheme="minorEastAsia" w:eastAsiaTheme="minorEastAsia"/>
                <w:sz w:val="24"/>
                <w:szCs w:val="20"/>
              </w:rPr>
              <w:t xml:space="preserve">34p防水连接器-线端-母头 </w:t>
            </w:r>
          </w:p>
          <w:p>
            <w:pPr>
              <w:keepNext w:val="0"/>
              <w:keepLines w:val="0"/>
              <w:suppressLineNumbers w:val="0"/>
              <w:spacing w:before="0" w:beforeAutospacing="0" w:after="0" w:afterAutospacing="0"/>
              <w:ind w:left="0" w:right="0"/>
              <w:jc w:val="center"/>
              <w:rPr>
                <w:rFonts w:hint="default"/>
                <w:sz w:val="24"/>
                <w:szCs w:val="20"/>
              </w:rPr>
            </w:pPr>
            <w:r>
              <w:rPr>
                <w:rFonts w:hint="eastAsia" w:asciiTheme="minorEastAsia" w:hAnsiTheme="minorEastAsia" w:eastAsiaTheme="minorEastAsia"/>
                <w:sz w:val="24"/>
                <w:szCs w:val="20"/>
              </w:rPr>
              <w:t>(TE  4-1437290-0)</w:t>
            </w:r>
          </w:p>
        </w:tc>
        <w:tc>
          <w:tcPr>
            <w:tcW w:w="850"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3</w:t>
            </w:r>
            <w:r>
              <w:rPr>
                <w:rFonts w:hint="default"/>
                <w:sz w:val="24"/>
                <w:szCs w:val="20"/>
              </w:rPr>
              <w:t>4</w:t>
            </w:r>
          </w:p>
        </w:tc>
        <w:tc>
          <w:tcPr>
            <w:tcW w:w="851"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1</w:t>
            </w:r>
          </w:p>
        </w:tc>
        <w:tc>
          <w:tcPr>
            <w:tcW w:w="1701" w:type="dxa"/>
          </w:tcPr>
          <w:p>
            <w:pPr>
              <w:keepNext w:val="0"/>
              <w:keepLines w:val="0"/>
              <w:suppressLineNumbers w:val="0"/>
              <w:spacing w:before="0" w:beforeAutospacing="0" w:after="0" w:afterAutospacing="0"/>
              <w:ind w:left="0" w:right="0"/>
              <w:rPr>
                <w:rFonts w:hint="default"/>
                <w:sz w:val="24"/>
                <w:szCs w:val="20"/>
              </w:rPr>
            </w:pPr>
            <w:r>
              <w:rPr>
                <w:rFonts w:hint="eastAsia"/>
                <w:sz w:val="24"/>
                <w:szCs w:val="20"/>
              </w:rPr>
              <w:t>X</w:t>
            </w:r>
            <w:r>
              <w:rPr>
                <w:rFonts w:hint="default"/>
                <w:sz w:val="24"/>
                <w:szCs w:val="20"/>
              </w:rPr>
              <w:t>S3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9" w:type="dxa"/>
            <w:vMerge w:val="continue"/>
          </w:tcPr>
          <w:p>
            <w:pPr>
              <w:keepNext w:val="0"/>
              <w:keepLines w:val="0"/>
              <w:suppressLineNumbers w:val="0"/>
              <w:spacing w:before="0" w:beforeAutospacing="0" w:after="0" w:afterAutospacing="0"/>
              <w:ind w:left="0" w:right="0"/>
              <w:jc w:val="center"/>
              <w:rPr>
                <w:rFonts w:hint="default"/>
                <w:sz w:val="24"/>
                <w:szCs w:val="20"/>
              </w:rPr>
            </w:pPr>
          </w:p>
        </w:tc>
        <w:tc>
          <w:tcPr>
            <w:tcW w:w="1275" w:type="dxa"/>
            <w:vMerge w:val="continue"/>
          </w:tcPr>
          <w:p>
            <w:pPr>
              <w:keepNext w:val="0"/>
              <w:keepLines w:val="0"/>
              <w:suppressLineNumbers w:val="0"/>
              <w:spacing w:before="0" w:beforeAutospacing="0" w:after="0" w:afterAutospacing="0"/>
              <w:ind w:left="0" w:right="0"/>
              <w:jc w:val="center"/>
              <w:rPr>
                <w:rFonts w:hint="default"/>
                <w:sz w:val="24"/>
                <w:szCs w:val="20"/>
              </w:rPr>
            </w:pPr>
          </w:p>
        </w:tc>
        <w:tc>
          <w:tcPr>
            <w:tcW w:w="3119" w:type="dxa"/>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sz w:val="24"/>
                <w:szCs w:val="20"/>
              </w:rPr>
            </w:pPr>
            <w:r>
              <w:rPr>
                <w:rFonts w:hint="eastAsia" w:asciiTheme="minorEastAsia" w:hAnsiTheme="minorEastAsia" w:eastAsiaTheme="minorEastAsia"/>
                <w:sz w:val="24"/>
                <w:szCs w:val="20"/>
              </w:rPr>
              <w:t>26p防水连接器-线端-母头</w:t>
            </w:r>
          </w:p>
          <w:p>
            <w:pPr>
              <w:keepNext w:val="0"/>
              <w:keepLines w:val="0"/>
              <w:suppressLineNumbers w:val="0"/>
              <w:spacing w:before="0" w:beforeAutospacing="0" w:after="0" w:afterAutospacing="0"/>
              <w:ind w:left="0" w:right="0"/>
              <w:jc w:val="center"/>
              <w:rPr>
                <w:rFonts w:hint="default"/>
                <w:sz w:val="24"/>
                <w:szCs w:val="20"/>
              </w:rPr>
            </w:pPr>
            <w:r>
              <w:rPr>
                <w:rFonts w:hint="eastAsia" w:asciiTheme="minorEastAsia" w:hAnsiTheme="minorEastAsia" w:eastAsiaTheme="minorEastAsia"/>
                <w:sz w:val="24"/>
                <w:szCs w:val="20"/>
              </w:rPr>
              <w:t xml:space="preserve">（TE  3-1437290-7） </w:t>
            </w:r>
          </w:p>
        </w:tc>
        <w:tc>
          <w:tcPr>
            <w:tcW w:w="850"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2</w:t>
            </w:r>
            <w:r>
              <w:rPr>
                <w:rFonts w:hint="default"/>
                <w:sz w:val="24"/>
                <w:szCs w:val="20"/>
              </w:rPr>
              <w:t>6</w:t>
            </w:r>
          </w:p>
        </w:tc>
        <w:tc>
          <w:tcPr>
            <w:tcW w:w="851"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1</w:t>
            </w:r>
          </w:p>
        </w:tc>
        <w:tc>
          <w:tcPr>
            <w:tcW w:w="1701" w:type="dxa"/>
          </w:tcPr>
          <w:p>
            <w:pPr>
              <w:keepNext w:val="0"/>
              <w:keepLines w:val="0"/>
              <w:suppressLineNumbers w:val="0"/>
              <w:spacing w:before="0" w:beforeAutospacing="0" w:after="0" w:afterAutospacing="0"/>
              <w:ind w:left="0" w:right="0"/>
              <w:rPr>
                <w:rFonts w:hint="default"/>
                <w:sz w:val="24"/>
                <w:szCs w:val="20"/>
              </w:rPr>
            </w:pPr>
            <w:r>
              <w:rPr>
                <w:rFonts w:hint="eastAsia"/>
                <w:sz w:val="24"/>
                <w:szCs w:val="20"/>
              </w:rPr>
              <w:t>X</w:t>
            </w:r>
            <w:r>
              <w:rPr>
                <w:rFonts w:hint="default"/>
                <w:sz w:val="24"/>
                <w:szCs w:val="20"/>
              </w:rPr>
              <w:t>S4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jc w:val="center"/>
              <w:rPr>
                <w:rFonts w:hint="default"/>
                <w:sz w:val="24"/>
                <w:szCs w:val="20"/>
              </w:rPr>
            </w:pPr>
          </w:p>
        </w:tc>
        <w:tc>
          <w:tcPr>
            <w:tcW w:w="1275" w:type="dxa"/>
            <w:vMerge w:val="continue"/>
          </w:tcPr>
          <w:p>
            <w:pPr>
              <w:keepNext w:val="0"/>
              <w:keepLines w:val="0"/>
              <w:suppressLineNumbers w:val="0"/>
              <w:spacing w:before="0" w:beforeAutospacing="0" w:after="0" w:afterAutospacing="0"/>
              <w:ind w:left="0" w:right="0"/>
              <w:jc w:val="center"/>
              <w:rPr>
                <w:rFonts w:hint="default"/>
                <w:sz w:val="24"/>
                <w:szCs w:val="20"/>
              </w:rPr>
            </w:pPr>
          </w:p>
        </w:tc>
        <w:tc>
          <w:tcPr>
            <w:tcW w:w="3119" w:type="dxa"/>
          </w:tcPr>
          <w:p>
            <w:pPr>
              <w:keepNext w:val="0"/>
              <w:keepLines w:val="0"/>
              <w:suppressLineNumbers w:val="0"/>
              <w:spacing w:before="0" w:beforeAutospacing="0" w:after="0" w:afterAutospacing="0"/>
              <w:ind w:left="0" w:right="0"/>
              <w:jc w:val="center"/>
              <w:rPr>
                <w:rFonts w:hint="default"/>
                <w:sz w:val="24"/>
                <w:szCs w:val="20"/>
              </w:rPr>
            </w:pPr>
            <w:r>
              <w:rPr>
                <w:rFonts w:hint="eastAsia" w:asciiTheme="minorEastAsia" w:hAnsiTheme="minorEastAsia" w:eastAsiaTheme="minorEastAsia"/>
                <w:sz w:val="24"/>
                <w:szCs w:val="20"/>
              </w:rPr>
              <w:t>26p防水连接器-线端-母头 （TE  3-1437290-8）</w:t>
            </w:r>
          </w:p>
        </w:tc>
        <w:tc>
          <w:tcPr>
            <w:tcW w:w="850"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2</w:t>
            </w:r>
            <w:r>
              <w:rPr>
                <w:rFonts w:hint="default"/>
                <w:sz w:val="24"/>
                <w:szCs w:val="20"/>
              </w:rPr>
              <w:t>6</w:t>
            </w:r>
          </w:p>
        </w:tc>
        <w:tc>
          <w:tcPr>
            <w:tcW w:w="851" w:type="dxa"/>
          </w:tcPr>
          <w:p>
            <w:pPr>
              <w:keepNext w:val="0"/>
              <w:keepLines w:val="0"/>
              <w:suppressLineNumbers w:val="0"/>
              <w:spacing w:before="0" w:beforeAutospacing="0" w:after="0" w:afterAutospacing="0"/>
              <w:ind w:left="0" w:right="0"/>
              <w:jc w:val="center"/>
              <w:rPr>
                <w:rFonts w:hint="default"/>
                <w:sz w:val="24"/>
                <w:szCs w:val="20"/>
              </w:rPr>
            </w:pPr>
            <w:r>
              <w:rPr>
                <w:rFonts w:hint="eastAsia"/>
                <w:sz w:val="24"/>
                <w:szCs w:val="20"/>
              </w:rPr>
              <w:t>1</w:t>
            </w:r>
          </w:p>
        </w:tc>
        <w:tc>
          <w:tcPr>
            <w:tcW w:w="1701" w:type="dxa"/>
          </w:tcPr>
          <w:p>
            <w:pPr>
              <w:keepNext w:val="0"/>
              <w:keepLines w:val="0"/>
              <w:suppressLineNumbers w:val="0"/>
              <w:spacing w:before="0" w:beforeAutospacing="0" w:after="0" w:afterAutospacing="0"/>
              <w:ind w:left="0" w:right="0"/>
              <w:rPr>
                <w:rFonts w:hint="default"/>
                <w:sz w:val="24"/>
                <w:szCs w:val="20"/>
              </w:rPr>
            </w:pPr>
            <w:r>
              <w:rPr>
                <w:rFonts w:hint="eastAsia"/>
                <w:sz w:val="24"/>
                <w:szCs w:val="20"/>
              </w:rPr>
              <w:t>X</w:t>
            </w:r>
            <w:r>
              <w:rPr>
                <w:rFonts w:hint="default"/>
                <w:sz w:val="24"/>
                <w:szCs w:val="20"/>
              </w:rPr>
              <w:t>S5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709" w:type="dxa"/>
            <w:vMerge w:val="restart"/>
          </w:tcPr>
          <w:p>
            <w:pPr>
              <w:keepNext w:val="0"/>
              <w:keepLines w:val="0"/>
              <w:suppressLineNumbers w:val="0"/>
              <w:spacing w:before="0" w:beforeAutospacing="0" w:after="0" w:afterAutospacing="0"/>
              <w:ind w:left="0" w:right="0"/>
              <w:jc w:val="center"/>
              <w:rPr>
                <w:rFonts w:hint="default"/>
                <w:color w:val="FF0000"/>
                <w:sz w:val="24"/>
                <w:szCs w:val="20"/>
              </w:rPr>
            </w:pPr>
            <w:r>
              <w:rPr>
                <w:rFonts w:hint="eastAsia"/>
                <w:color w:val="FF0000"/>
                <w:sz w:val="24"/>
                <w:szCs w:val="20"/>
              </w:rPr>
              <w:t>3</w:t>
            </w:r>
          </w:p>
        </w:tc>
        <w:tc>
          <w:tcPr>
            <w:tcW w:w="1275" w:type="dxa"/>
            <w:vMerge w:val="restart"/>
          </w:tcPr>
          <w:p>
            <w:pPr>
              <w:keepNext w:val="0"/>
              <w:keepLines w:val="0"/>
              <w:suppressLineNumbers w:val="0"/>
              <w:spacing w:before="0" w:beforeAutospacing="0" w:after="0" w:afterAutospacing="0"/>
              <w:ind w:left="0" w:right="0"/>
              <w:jc w:val="center"/>
              <w:rPr>
                <w:rFonts w:hint="default"/>
                <w:color w:val="FF0000"/>
                <w:sz w:val="24"/>
                <w:szCs w:val="20"/>
              </w:rPr>
            </w:pPr>
            <w:r>
              <w:rPr>
                <w:rFonts w:hint="eastAsia"/>
                <w:color w:val="FF0000"/>
                <w:sz w:val="24"/>
                <w:szCs w:val="20"/>
              </w:rPr>
              <w:t>连接器插孔</w:t>
            </w:r>
          </w:p>
        </w:tc>
        <w:tc>
          <w:tcPr>
            <w:tcW w:w="3119" w:type="dxa"/>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FF0000"/>
                <w:sz w:val="24"/>
                <w:szCs w:val="20"/>
              </w:rPr>
            </w:pPr>
            <w:r>
              <w:rPr>
                <w:rFonts w:hint="eastAsia" w:asciiTheme="minorEastAsia" w:hAnsiTheme="minorEastAsia" w:eastAsiaTheme="minorEastAsia"/>
                <w:color w:val="FF0000"/>
                <w:sz w:val="24"/>
                <w:szCs w:val="20"/>
              </w:rPr>
              <w:t>0.75-1.25mm2端子</w:t>
            </w:r>
          </w:p>
        </w:tc>
        <w:tc>
          <w:tcPr>
            <w:tcW w:w="850" w:type="dxa"/>
          </w:tcPr>
          <w:p>
            <w:pPr>
              <w:keepNext w:val="0"/>
              <w:keepLines w:val="0"/>
              <w:suppressLineNumbers w:val="0"/>
              <w:spacing w:before="0" w:beforeAutospacing="0" w:after="0" w:afterAutospacing="0"/>
              <w:ind w:left="0" w:right="0"/>
              <w:jc w:val="center"/>
              <w:rPr>
                <w:rFonts w:hint="default"/>
                <w:color w:val="FF0000"/>
                <w:sz w:val="24"/>
                <w:szCs w:val="20"/>
              </w:rPr>
            </w:pPr>
            <w:r>
              <w:rPr>
                <w:rFonts w:hint="eastAsia"/>
                <w:color w:val="FF0000"/>
                <w:sz w:val="24"/>
                <w:szCs w:val="20"/>
              </w:rPr>
              <w:t>/</w:t>
            </w:r>
          </w:p>
        </w:tc>
        <w:tc>
          <w:tcPr>
            <w:tcW w:w="851" w:type="dxa"/>
          </w:tcPr>
          <w:p>
            <w:pPr>
              <w:keepNext w:val="0"/>
              <w:keepLines w:val="0"/>
              <w:suppressLineNumbers w:val="0"/>
              <w:spacing w:before="0" w:beforeAutospacing="0" w:after="0" w:afterAutospacing="0"/>
              <w:ind w:left="0" w:right="0"/>
              <w:jc w:val="center"/>
              <w:rPr>
                <w:rFonts w:hint="default"/>
                <w:color w:val="FF0000"/>
                <w:sz w:val="24"/>
                <w:szCs w:val="20"/>
              </w:rPr>
            </w:pPr>
            <w:r>
              <w:rPr>
                <w:rFonts w:hint="eastAsia"/>
                <w:color w:val="FF0000"/>
                <w:sz w:val="24"/>
                <w:szCs w:val="20"/>
              </w:rPr>
              <w:t>100</w:t>
            </w:r>
          </w:p>
        </w:tc>
        <w:tc>
          <w:tcPr>
            <w:tcW w:w="1701" w:type="dxa"/>
          </w:tcPr>
          <w:p>
            <w:pPr>
              <w:keepNext w:val="0"/>
              <w:keepLines w:val="0"/>
              <w:suppressLineNumbers w:val="0"/>
              <w:spacing w:before="0" w:beforeAutospacing="0" w:after="0" w:afterAutospacing="0"/>
              <w:ind w:left="0" w:right="0"/>
              <w:rPr>
                <w:rFonts w:hint="default"/>
                <w:color w:val="FF0000"/>
                <w:sz w:val="24"/>
                <w:szCs w:val="20"/>
              </w:rPr>
            </w:pPr>
            <w:r>
              <w:rPr>
                <w:rFonts w:hint="eastAsia"/>
                <w:color w:val="FF0000"/>
                <w:sz w:val="24"/>
                <w:szCs w:val="20"/>
              </w:rPr>
              <w:t>适配外径范围1.6-2.2mm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trPr>
        <w:tc>
          <w:tcPr>
            <w:tcW w:w="709" w:type="dxa"/>
            <w:vMerge w:val="continue"/>
          </w:tcPr>
          <w:p>
            <w:pPr>
              <w:keepNext w:val="0"/>
              <w:keepLines w:val="0"/>
              <w:suppressLineNumbers w:val="0"/>
              <w:spacing w:before="0" w:beforeAutospacing="0" w:after="0" w:afterAutospacing="0"/>
              <w:ind w:left="0" w:right="0"/>
              <w:jc w:val="center"/>
              <w:rPr>
                <w:rFonts w:hint="default"/>
                <w:color w:val="FF0000"/>
                <w:sz w:val="24"/>
                <w:szCs w:val="20"/>
              </w:rPr>
            </w:pPr>
          </w:p>
        </w:tc>
        <w:tc>
          <w:tcPr>
            <w:tcW w:w="1275" w:type="dxa"/>
            <w:vMerge w:val="continue"/>
          </w:tcPr>
          <w:p>
            <w:pPr>
              <w:keepNext w:val="0"/>
              <w:keepLines w:val="0"/>
              <w:suppressLineNumbers w:val="0"/>
              <w:spacing w:before="0" w:beforeAutospacing="0" w:after="0" w:afterAutospacing="0"/>
              <w:ind w:left="0" w:right="0"/>
              <w:jc w:val="center"/>
              <w:rPr>
                <w:rFonts w:hint="default"/>
                <w:color w:val="FF0000"/>
                <w:sz w:val="24"/>
                <w:szCs w:val="20"/>
              </w:rPr>
            </w:pPr>
          </w:p>
        </w:tc>
        <w:tc>
          <w:tcPr>
            <w:tcW w:w="3119" w:type="dxa"/>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FF0000"/>
                <w:sz w:val="24"/>
                <w:szCs w:val="20"/>
              </w:rPr>
            </w:pPr>
            <w:r>
              <w:rPr>
                <w:rFonts w:hint="eastAsia" w:asciiTheme="minorEastAsia" w:hAnsiTheme="minorEastAsia" w:eastAsiaTheme="minorEastAsia"/>
                <w:color w:val="FF0000"/>
                <w:sz w:val="24"/>
                <w:szCs w:val="20"/>
              </w:rPr>
              <w:t>0.5mm2端子</w:t>
            </w:r>
          </w:p>
        </w:tc>
        <w:tc>
          <w:tcPr>
            <w:tcW w:w="850" w:type="dxa"/>
          </w:tcPr>
          <w:p>
            <w:pPr>
              <w:keepNext w:val="0"/>
              <w:keepLines w:val="0"/>
              <w:suppressLineNumbers w:val="0"/>
              <w:spacing w:before="0" w:beforeAutospacing="0" w:after="0" w:afterAutospacing="0"/>
              <w:ind w:left="0" w:right="0"/>
              <w:jc w:val="center"/>
              <w:rPr>
                <w:rFonts w:hint="default"/>
                <w:color w:val="FF0000"/>
                <w:sz w:val="24"/>
                <w:szCs w:val="20"/>
              </w:rPr>
            </w:pPr>
            <w:r>
              <w:rPr>
                <w:rFonts w:hint="eastAsia"/>
                <w:color w:val="FF0000"/>
                <w:sz w:val="24"/>
                <w:szCs w:val="20"/>
              </w:rPr>
              <w:t>/</w:t>
            </w:r>
          </w:p>
        </w:tc>
        <w:tc>
          <w:tcPr>
            <w:tcW w:w="851" w:type="dxa"/>
          </w:tcPr>
          <w:p>
            <w:pPr>
              <w:keepNext w:val="0"/>
              <w:keepLines w:val="0"/>
              <w:suppressLineNumbers w:val="0"/>
              <w:spacing w:before="0" w:beforeAutospacing="0" w:after="0" w:afterAutospacing="0"/>
              <w:ind w:left="0" w:right="0"/>
              <w:jc w:val="center"/>
              <w:rPr>
                <w:rFonts w:hint="default"/>
                <w:color w:val="FF0000"/>
                <w:sz w:val="24"/>
                <w:szCs w:val="20"/>
              </w:rPr>
            </w:pPr>
            <w:r>
              <w:rPr>
                <w:rFonts w:hint="eastAsia"/>
                <w:color w:val="FF0000"/>
                <w:sz w:val="24"/>
                <w:szCs w:val="20"/>
              </w:rPr>
              <w:t>20</w:t>
            </w:r>
          </w:p>
        </w:tc>
        <w:tc>
          <w:tcPr>
            <w:tcW w:w="1701" w:type="dxa"/>
          </w:tcPr>
          <w:p>
            <w:pPr>
              <w:keepNext w:val="0"/>
              <w:keepLines w:val="0"/>
              <w:suppressLineNumbers w:val="0"/>
              <w:spacing w:before="0" w:beforeAutospacing="0" w:after="0" w:afterAutospacing="0"/>
              <w:ind w:left="0" w:right="0"/>
              <w:rPr>
                <w:rFonts w:hint="default"/>
                <w:color w:val="FF0000"/>
                <w:sz w:val="24"/>
                <w:szCs w:val="20"/>
              </w:rPr>
            </w:pPr>
            <w:r>
              <w:rPr>
                <w:rFonts w:hint="eastAsia"/>
                <w:color w:val="FF0000"/>
                <w:sz w:val="24"/>
                <w:szCs w:val="20"/>
              </w:rPr>
              <w:t>适配外径范围1.6-1.9mm</w:t>
            </w:r>
          </w:p>
        </w:tc>
      </w:tr>
    </w:tbl>
    <w:p>
      <w:pPr>
        <w:ind w:firstLine="480"/>
      </w:pPr>
    </w:p>
    <w:p>
      <w:pPr>
        <w:ind w:firstLine="480"/>
      </w:pPr>
      <w:r>
        <w:rPr>
          <w:rFonts w:hint="eastAsia"/>
        </w:rPr>
        <w:t>注：</w:t>
      </w:r>
    </w:p>
    <w:p>
      <w:pPr>
        <w:numPr>
          <w:ilvl w:val="0"/>
          <w:numId w:val="20"/>
        </w:numPr>
        <w:ind w:firstLine="480"/>
      </w:pPr>
      <w:r>
        <w:rPr>
          <w:rFonts w:hint="eastAsia"/>
        </w:rPr>
        <w:t>附件均采用密封袋包装，包装上粘贴附件型号（KIO04-01附件）等标识，包装袋内同时含附件清单，包含附件插头的品牌、规格型号、数量等。</w:t>
      </w:r>
    </w:p>
    <w:p>
      <w:pPr>
        <w:ind w:firstLine="420" w:firstLineChars="200"/>
        <w:rPr>
          <w:color w:val="FF0000"/>
        </w:rPr>
      </w:pPr>
      <w:r>
        <w:rPr>
          <w:rFonts w:hint="eastAsia"/>
          <w:color w:val="FF0000"/>
        </w:rPr>
        <w:t>2、空针需要用TE 4-1437284-3的封线塞封堵，封线塞非供应商供货范围，由国祥根据项目需求数量自行配置。</w:t>
      </w:r>
    </w:p>
    <w:p>
      <w:pPr>
        <w:pStyle w:val="2"/>
        <w:tabs>
          <w:tab w:val="left" w:pos="397"/>
        </w:tabs>
        <w:spacing w:before="240" w:after="120"/>
      </w:pPr>
      <w:bookmarkStart w:id="120" w:name="_Toc136164095"/>
      <w:r>
        <w:t>引用标准及相关文件</w:t>
      </w:r>
      <w:bookmarkEnd w:id="120"/>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以下标准所包含的条文，通过在本技术条件中引用而成为本文的条文。所有标准都会被修订，使用本技术条件时，应使用下列标准最新版本。如果以下所列的标准没有覆盖某些项目，经双方共同确认后，可采用适用的有关标准。</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IEC60077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铁路车辆的电气设备</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IEC60571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机车车辆用电子设备</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IEC61373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机车车辆设备</w:t>
      </w:r>
      <w:r>
        <w:rPr>
          <w:rFonts w:asciiTheme="minorEastAsia" w:hAnsiTheme="minorEastAsia" w:eastAsiaTheme="minorEastAsia"/>
        </w:rPr>
        <w:t>-</w:t>
      </w:r>
      <w:r>
        <w:rPr>
          <w:rFonts w:hint="eastAsia" w:asciiTheme="minorEastAsia" w:hAnsiTheme="minorEastAsia" w:eastAsiaTheme="minorEastAsia"/>
        </w:rPr>
        <w:t>冲击和振动</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IEC61131-2可编程控制器–2部分:设备需求和测试</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IEC60529 </w:t>
      </w:r>
      <w:r>
        <w:rPr>
          <w:rFonts w:hint="eastAsia" w:asciiTheme="minorEastAsia" w:hAnsiTheme="minorEastAsia" w:eastAsiaTheme="minorEastAsia"/>
        </w:rPr>
        <w:t>外壳防护等级（</w:t>
      </w:r>
      <w:r>
        <w:rPr>
          <w:rFonts w:asciiTheme="minorEastAsia" w:hAnsiTheme="minorEastAsia" w:eastAsiaTheme="minorEastAsia"/>
        </w:rPr>
        <w:t xml:space="preserve">IP </w:t>
      </w:r>
      <w:r>
        <w:rPr>
          <w:rFonts w:hint="eastAsia" w:asciiTheme="minorEastAsia" w:hAnsiTheme="minorEastAsia" w:eastAsiaTheme="minorEastAsia"/>
        </w:rPr>
        <w:t>等级）</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IEC62380 </w:t>
      </w:r>
      <w:r>
        <w:rPr>
          <w:rFonts w:hint="eastAsia" w:asciiTheme="minorEastAsia" w:hAnsiTheme="minorEastAsia" w:eastAsiaTheme="minorEastAsia"/>
        </w:rPr>
        <w:t>电子产品、</w:t>
      </w:r>
      <w:r>
        <w:rPr>
          <w:rFonts w:asciiTheme="minorEastAsia" w:hAnsiTheme="minorEastAsia" w:eastAsiaTheme="minorEastAsia"/>
        </w:rPr>
        <w:t xml:space="preserve">PCBs </w:t>
      </w:r>
      <w:r>
        <w:rPr>
          <w:rFonts w:hint="eastAsia" w:asciiTheme="minorEastAsia" w:hAnsiTheme="minorEastAsia" w:eastAsiaTheme="minorEastAsia"/>
        </w:rPr>
        <w:t>和设备的可靠性预计通用模型</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EN15085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机车车辆及其部件的焊接</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EN45545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轨道车辆防火</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EN50121-3-2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电磁兼容性</w:t>
      </w:r>
      <w:r>
        <w:rPr>
          <w:rFonts w:asciiTheme="minorEastAsia" w:hAnsiTheme="minorEastAsia" w:eastAsiaTheme="minorEastAsia"/>
        </w:rPr>
        <w:t>-</w:t>
      </w:r>
      <w:r>
        <w:rPr>
          <w:rFonts w:hint="eastAsia" w:asciiTheme="minorEastAsia" w:hAnsiTheme="minorEastAsia" w:eastAsiaTheme="minorEastAsia"/>
        </w:rPr>
        <w:t>第</w:t>
      </w:r>
      <w:r>
        <w:rPr>
          <w:rFonts w:asciiTheme="minorEastAsia" w:hAnsiTheme="minorEastAsia" w:eastAsiaTheme="minorEastAsia"/>
        </w:rPr>
        <w:t xml:space="preserve">3-2 </w:t>
      </w:r>
      <w:r>
        <w:rPr>
          <w:rFonts w:hint="eastAsia" w:asciiTheme="minorEastAsia" w:hAnsiTheme="minorEastAsia" w:eastAsiaTheme="minorEastAsia"/>
        </w:rPr>
        <w:t>部分：机车车辆</w:t>
      </w:r>
      <w:r>
        <w:rPr>
          <w:rFonts w:asciiTheme="minorEastAsia" w:hAnsiTheme="minorEastAsia" w:eastAsiaTheme="minorEastAsia"/>
        </w:rPr>
        <w:t>-</w:t>
      </w:r>
      <w:r>
        <w:rPr>
          <w:rFonts w:hint="eastAsia" w:asciiTheme="minorEastAsia" w:hAnsiTheme="minorEastAsia" w:eastAsiaTheme="minorEastAsia"/>
        </w:rPr>
        <w:t>设备</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EN55011 工业,科学和医疗设备射频骚扰特性、限值和测量方法</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EN50343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机车车辆</w:t>
      </w:r>
      <w:r>
        <w:rPr>
          <w:rFonts w:asciiTheme="minorEastAsia" w:hAnsiTheme="minorEastAsia" w:eastAsiaTheme="minorEastAsia"/>
        </w:rPr>
        <w:t>-</w:t>
      </w:r>
      <w:r>
        <w:rPr>
          <w:rFonts w:hint="eastAsia" w:asciiTheme="minorEastAsia" w:hAnsiTheme="minorEastAsia" w:eastAsiaTheme="minorEastAsia"/>
        </w:rPr>
        <w:t>布线规则</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EN50155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车辆用电子设备</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EN50126 铁路应用-可靠性、可用性、可维修性和安全性（RAMS）的规范和论证</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EN50128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通讯、信号和处理系统</w:t>
      </w:r>
      <w:r>
        <w:rPr>
          <w:rFonts w:asciiTheme="minorEastAsia" w:hAnsiTheme="minorEastAsia" w:eastAsiaTheme="minorEastAsia"/>
        </w:rPr>
        <w:t>-</w:t>
      </w:r>
      <w:r>
        <w:rPr>
          <w:rFonts w:hint="eastAsia" w:asciiTheme="minorEastAsia" w:hAnsiTheme="minorEastAsia" w:eastAsiaTheme="minorEastAsia"/>
        </w:rPr>
        <w:t>铁路控制和防护系统软件</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EN50264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具有特殊防火性能的铁路车辆用电力电缆与控制电缆</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 xml:space="preserve">EN50306 </w:t>
      </w:r>
      <w:r>
        <w:rPr>
          <w:rFonts w:hint="eastAsia" w:asciiTheme="minorEastAsia" w:hAnsiTheme="minorEastAsia" w:eastAsiaTheme="minorEastAsia"/>
        </w:rPr>
        <w:t>铁路应用</w:t>
      </w:r>
      <w:r>
        <w:rPr>
          <w:rFonts w:asciiTheme="minorEastAsia" w:hAnsiTheme="minorEastAsia" w:eastAsiaTheme="minorEastAsia"/>
        </w:rPr>
        <w:t>-</w:t>
      </w:r>
      <w:r>
        <w:rPr>
          <w:rFonts w:hint="eastAsia" w:asciiTheme="minorEastAsia" w:hAnsiTheme="minorEastAsia" w:eastAsiaTheme="minorEastAsia"/>
        </w:rPr>
        <w:t>具有特殊防火性能的铁路车辆用电缆</w:t>
      </w:r>
      <w:r>
        <w:rPr>
          <w:rFonts w:asciiTheme="minorEastAsia" w:hAnsiTheme="minorEastAsia" w:eastAsiaTheme="minorEastAsia"/>
        </w:rPr>
        <w:t>-</w:t>
      </w:r>
      <w:r>
        <w:rPr>
          <w:rFonts w:hint="eastAsia" w:asciiTheme="minorEastAsia" w:hAnsiTheme="minorEastAsia" w:eastAsiaTheme="minorEastAsia"/>
        </w:rPr>
        <w:t>薄壁</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MIL-HDBK-217 电子设备可靠性预计手册</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GB/T 2423系列  电工电子产品环境试验</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GB/T 21413.1铁路应用</w:t>
      </w:r>
      <w:r>
        <w:rPr>
          <w:rFonts w:hint="eastAsia" w:asciiTheme="minorEastAsia" w:hAnsiTheme="minorEastAsia" w:eastAsiaTheme="minorEastAsia"/>
        </w:rPr>
        <w:t>-</w:t>
      </w:r>
      <w:r>
        <w:rPr>
          <w:rFonts w:asciiTheme="minorEastAsia" w:hAnsiTheme="minorEastAsia" w:eastAsiaTheme="minorEastAsia"/>
        </w:rPr>
        <w:t>机车车辆电气设备</w:t>
      </w:r>
      <w:r>
        <w:rPr>
          <w:rFonts w:hint="eastAsia" w:asciiTheme="minorEastAsia" w:hAnsiTheme="minorEastAsia" w:eastAsiaTheme="minorEastAsia"/>
        </w:rPr>
        <w:t>-</w:t>
      </w:r>
      <w:r>
        <w:rPr>
          <w:rFonts w:asciiTheme="minorEastAsia" w:hAnsiTheme="minorEastAsia" w:eastAsiaTheme="minorEastAsia"/>
        </w:rPr>
        <w:t>第1部分：一般使用条件和通用规则</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GB/T 24338.4 轨道交通 电磁兼容-第</w:t>
      </w:r>
      <w:r>
        <w:rPr>
          <w:rFonts w:asciiTheme="minorEastAsia" w:hAnsiTheme="minorEastAsia" w:eastAsiaTheme="minorEastAsia"/>
        </w:rPr>
        <w:t xml:space="preserve">3-2 </w:t>
      </w:r>
      <w:r>
        <w:rPr>
          <w:rFonts w:hint="eastAsia" w:asciiTheme="minorEastAsia" w:hAnsiTheme="minorEastAsia" w:eastAsiaTheme="minorEastAsia"/>
        </w:rPr>
        <w:t>部分：机车车辆</w:t>
      </w:r>
      <w:r>
        <w:rPr>
          <w:rFonts w:asciiTheme="minorEastAsia" w:hAnsiTheme="minorEastAsia" w:eastAsiaTheme="minorEastAsia"/>
        </w:rPr>
        <w:t>-</w:t>
      </w:r>
      <w:r>
        <w:rPr>
          <w:rFonts w:hint="eastAsia" w:asciiTheme="minorEastAsia" w:hAnsiTheme="minorEastAsia" w:eastAsiaTheme="minorEastAsia"/>
        </w:rPr>
        <w:t>设备</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GB/T 25119 轨道交通 机车车辆电子装置</w:t>
      </w:r>
    </w:p>
    <w:p>
      <w:pPr>
        <w:spacing w:line="360" w:lineRule="auto"/>
        <w:ind w:left="92" w:leftChars="44" w:right="232" w:firstLine="480"/>
        <w:jc w:val="left"/>
        <w:rPr>
          <w:rFonts w:asciiTheme="minorEastAsia" w:hAnsiTheme="minorEastAsia" w:eastAsiaTheme="minorEastAsia"/>
        </w:rPr>
      </w:pPr>
      <w:r>
        <w:rPr>
          <w:rFonts w:asciiTheme="minorEastAsia" w:hAnsiTheme="minorEastAsia" w:eastAsiaTheme="minorEastAsia"/>
        </w:rPr>
        <w:t>BZDT1111-CG-G100-001</w:t>
      </w:r>
      <w:r>
        <w:rPr>
          <w:rFonts w:hint="eastAsia" w:asciiTheme="minorEastAsia" w:hAnsiTheme="minorEastAsia" w:eastAsiaTheme="minorEastAsia"/>
        </w:rPr>
        <w:t>系列化中国标准地铁列车研制及试验项目电磁兼容通用技术条件</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TB/T 3139 机车车辆非金属材料及室内空气有害物质限量</w:t>
      </w:r>
    </w:p>
    <w:p>
      <w:pPr>
        <w:pStyle w:val="2"/>
        <w:tabs>
          <w:tab w:val="left" w:pos="397"/>
        </w:tabs>
        <w:spacing w:before="240" w:after="120"/>
      </w:pPr>
      <w:bookmarkStart w:id="121" w:name="_Toc136164096"/>
      <w:r>
        <w:t>K</w:t>
      </w:r>
      <w:r>
        <w:rPr>
          <w:rFonts w:hint="eastAsia"/>
        </w:rPr>
        <w:t>IO</w:t>
      </w:r>
      <w:r>
        <w:t>硬件参数</w:t>
      </w:r>
      <w:bookmarkEnd w:id="121"/>
    </w:p>
    <w:p>
      <w:pPr>
        <w:pStyle w:val="3"/>
        <w:tabs>
          <w:tab w:val="left" w:pos="0"/>
          <w:tab w:val="left" w:pos="624"/>
          <w:tab w:val="clear" w:pos="567"/>
        </w:tabs>
        <w:spacing w:before="24" w:after="24"/>
      </w:pPr>
      <w:bookmarkStart w:id="122" w:name="_Toc136164097"/>
      <w:r>
        <w:t>应用环境条件</w:t>
      </w:r>
      <w:bookmarkEnd w:id="122"/>
    </w:p>
    <w:p>
      <w:pPr>
        <w:ind w:firstLine="480"/>
      </w:pPr>
      <w:r>
        <w:t>环境温度：－25</w:t>
      </w:r>
      <w:r>
        <w:rPr>
          <w:rFonts w:hint="eastAsia"/>
        </w:rPr>
        <w:t>℃</w:t>
      </w:r>
      <w:r>
        <w:t>～＋70</w:t>
      </w:r>
      <w:r>
        <w:rPr>
          <w:rFonts w:hint="eastAsia"/>
        </w:rPr>
        <w:t>℃</w:t>
      </w:r>
    </w:p>
    <w:p>
      <w:pPr>
        <w:ind w:firstLine="480"/>
      </w:pPr>
      <w:r>
        <w:t>存储温度：－40</w:t>
      </w:r>
      <w:r>
        <w:rPr>
          <w:rFonts w:hint="eastAsia"/>
        </w:rPr>
        <w:t>℃</w:t>
      </w:r>
      <w:r>
        <w:t>～＋85</w:t>
      </w:r>
      <w:r>
        <w:rPr>
          <w:rFonts w:hint="eastAsia"/>
        </w:rPr>
        <w:t>℃</w:t>
      </w:r>
    </w:p>
    <w:p>
      <w:pPr>
        <w:ind w:firstLine="480"/>
      </w:pPr>
      <w:r>
        <w:t>相对湿度： 0%～95%</w:t>
      </w:r>
    </w:p>
    <w:p>
      <w:pPr>
        <w:ind w:firstLine="480"/>
      </w:pPr>
      <w:r>
        <w:t>海拔高度： &lt;3000 m</w:t>
      </w:r>
    </w:p>
    <w:p>
      <w:pPr>
        <w:ind w:firstLine="480"/>
      </w:pPr>
      <w:r>
        <w:rPr>
          <w:rFonts w:hint="eastAsia"/>
        </w:rPr>
        <w:t>防护等级：IP54</w:t>
      </w:r>
    </w:p>
    <w:p>
      <w:pPr>
        <w:ind w:firstLine="480"/>
      </w:pPr>
      <w:r>
        <w:rPr>
          <w:rFonts w:hint="eastAsia"/>
        </w:rPr>
        <w:t>螺钉材质：不锈钢</w:t>
      </w:r>
    </w:p>
    <w:p>
      <w:pPr>
        <w:pStyle w:val="3"/>
        <w:tabs>
          <w:tab w:val="left" w:pos="0"/>
          <w:tab w:val="left" w:pos="624"/>
          <w:tab w:val="clear" w:pos="567"/>
        </w:tabs>
        <w:spacing w:before="24" w:after="24"/>
      </w:pPr>
      <w:bookmarkStart w:id="123" w:name="_Toc136164098"/>
      <w:r>
        <w:t>硬件结构</w:t>
      </w:r>
      <w:bookmarkEnd w:id="123"/>
    </w:p>
    <w:p>
      <w:pPr>
        <w:ind w:firstLine="480"/>
      </w:pPr>
      <w:r>
        <w:rPr>
          <w:rFonts w:hint="eastAsia" w:ascii="宋体" w:hAnsi="宋体"/>
        </w:rPr>
        <w:t xml:space="preserve">◆ </w:t>
      </w:r>
      <w:r>
        <w:rPr>
          <w:rFonts w:hint="eastAsia"/>
        </w:rPr>
        <w:t>芯片更新换代的管控要求：要求所有影响软件的电子元器件采购期至少能维持15年。</w:t>
      </w:r>
    </w:p>
    <w:p>
      <w:pPr>
        <w:ind w:firstLine="480"/>
      </w:pPr>
      <w:r>
        <w:rPr>
          <w:rFonts w:hint="eastAsia" w:ascii="宋体" w:hAnsi="宋体"/>
        </w:rPr>
        <w:t xml:space="preserve">◆ </w:t>
      </w:r>
      <w:r>
        <w:rPr>
          <w:rFonts w:hint="eastAsia"/>
        </w:rPr>
        <w:t>采购期风险评估的要求：要求每年对在产型号进行梳理，若有不能够满足15年采购期的型号需向我司发起型号停用申请。</w:t>
      </w:r>
    </w:p>
    <w:p>
      <w:pPr>
        <w:pStyle w:val="3"/>
        <w:tabs>
          <w:tab w:val="left" w:pos="0"/>
          <w:tab w:val="left" w:pos="624"/>
          <w:tab w:val="clear" w:pos="567"/>
        </w:tabs>
        <w:spacing w:before="24" w:after="24"/>
      </w:pPr>
      <w:bookmarkStart w:id="124" w:name="_Toc136164099"/>
      <w:r>
        <w:rPr>
          <w:rFonts w:hint="eastAsia"/>
        </w:rPr>
        <w:t>IO模块硬件需求</w:t>
      </w:r>
      <w:bookmarkEnd w:id="124"/>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 xml:space="preserve"> KIO0</w:t>
      </w:r>
      <w:r>
        <w:rPr>
          <w:rFonts w:hint="eastAsia"/>
          <w:lang w:eastAsia="zh-CN"/>
        </w:rPr>
        <w:t>4</w:t>
      </w:r>
      <w:r>
        <w:rPr>
          <w:rFonts w:hint="eastAsia"/>
        </w:rPr>
        <w:t>-01(2.02.24.046</w:t>
      </w:r>
      <w:r>
        <w:rPr>
          <w:rFonts w:hint="eastAsia"/>
          <w:lang w:eastAsia="zh-CN"/>
        </w:rPr>
        <w:t>1</w:t>
      </w:r>
      <w:r>
        <w:rPr>
          <w:rFonts w:hint="eastAsia"/>
        </w:rPr>
        <w:t>)型IO模块</w:t>
      </w:r>
      <w:r>
        <w:t>支持的资源配置</w:t>
      </w:r>
    </w:p>
    <w:tbl>
      <w:tblPr>
        <w:tblStyle w:val="60"/>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281"/>
        <w:gridCol w:w="520"/>
        <w:gridCol w:w="5046"/>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jc w:val="left"/>
              <w:rPr>
                <w:rFonts w:hint="default"/>
              </w:rPr>
            </w:pPr>
            <w:r>
              <w:rPr>
                <w:rFonts w:hint="default"/>
              </w:rPr>
              <w:t>序号</w:t>
            </w:r>
          </w:p>
        </w:tc>
        <w:tc>
          <w:tcPr>
            <w:tcW w:w="1281"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jc w:val="left"/>
              <w:rPr>
                <w:rFonts w:hint="default"/>
              </w:rPr>
            </w:pPr>
            <w:r>
              <w:rPr>
                <w:rFonts w:hint="default"/>
              </w:rPr>
              <w:t>资源类型</w:t>
            </w:r>
          </w:p>
        </w:tc>
        <w:tc>
          <w:tcPr>
            <w:tcW w:w="520"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jc w:val="left"/>
              <w:rPr>
                <w:rFonts w:hint="default"/>
              </w:rPr>
            </w:pPr>
            <w:r>
              <w:rPr>
                <w:rFonts w:hint="default"/>
              </w:rPr>
              <w:t>数量</w:t>
            </w:r>
          </w:p>
        </w:tc>
        <w:tc>
          <w:tcPr>
            <w:tcW w:w="5046"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jc w:val="left"/>
              <w:rPr>
                <w:rFonts w:hint="default"/>
              </w:rPr>
            </w:pPr>
            <w:r>
              <w:rPr>
                <w:rFonts w:hint="default"/>
              </w:rPr>
              <w:t>规格参数</w:t>
            </w:r>
          </w:p>
        </w:tc>
        <w:tc>
          <w:tcPr>
            <w:tcW w:w="1148" w:type="dxa"/>
            <w:tcBorders>
              <w:top w:val="single" w:color="auto" w:sz="4" w:space="0"/>
              <w:left w:val="single" w:color="auto" w:sz="4" w:space="0"/>
              <w:bottom w:val="single" w:color="auto" w:sz="4" w:space="0"/>
              <w:right w:val="single" w:color="auto" w:sz="4" w:space="0"/>
            </w:tcBorders>
            <w:shd w:val="pct10" w:color="auto" w:fill="auto"/>
          </w:tcPr>
          <w:p>
            <w:pPr>
              <w:pStyle w:val="156"/>
              <w:keepNext w:val="0"/>
              <w:keepLines w:val="0"/>
              <w:widowControl/>
              <w:suppressLineNumbers w:val="0"/>
              <w:spacing w:beforeAutospacing="0" w:after="0" w:afterAutospacing="0"/>
              <w:ind w:left="0" w:right="0"/>
              <w:jc w:val="left"/>
              <w:rPr>
                <w:rFonts w:hint="default"/>
              </w:rPr>
            </w:pPr>
            <w:r>
              <w:rPr>
                <w:rFonts w:hint="default"/>
              </w:rPr>
              <w:t>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2</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default"/>
              </w:rPr>
              <w:t>电源输入</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default"/>
              </w:rPr>
              <w:t>1</w:t>
            </w:r>
          </w:p>
        </w:tc>
        <w:tc>
          <w:tcPr>
            <w:tcW w:w="5046"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suppressLineNumbers w:val="0"/>
              <w:spacing w:beforeAutospacing="0" w:after="0" w:afterAutospacing="0"/>
              <w:ind w:left="0" w:right="0"/>
              <w:jc w:val="left"/>
              <w:rPr>
                <w:rFonts w:hint="default" w:cs="Calibri"/>
                <w:kern w:val="0"/>
                <w:szCs w:val="21"/>
              </w:rPr>
            </w:pPr>
            <w:r>
              <w:rPr>
                <w:rFonts w:hint="eastAsia" w:cs="Calibri"/>
                <w:kern w:val="0"/>
                <w:szCs w:val="21"/>
              </w:rPr>
              <w:t>DC24V(16.8～30V)</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5.1.1</w:t>
            </w:r>
            <w:r>
              <w:rPr>
                <w:rFonts w:hint="default"/>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3</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SRAM</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default"/>
              </w:rPr>
              <w:t>1</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cs="Calibri"/>
                <w:kern w:val="0"/>
                <w:szCs w:val="21"/>
              </w:rPr>
            </w:pPr>
            <w:r>
              <w:rPr>
                <w:rFonts w:hint="eastAsia" w:cs="Calibri"/>
                <w:kern w:val="0"/>
                <w:szCs w:val="21"/>
              </w:rPr>
              <w:t>1M Byte</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5.5节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default"/>
              </w:rPr>
              <w:t>数字量输入</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24</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cs="Calibri"/>
                <w:kern w:val="0"/>
                <w:szCs w:val="21"/>
              </w:rPr>
            </w:pPr>
            <w:r>
              <w:rPr>
                <w:rFonts w:hint="eastAsia" w:cs="Calibri"/>
                <w:kern w:val="0"/>
                <w:szCs w:val="21"/>
              </w:rPr>
              <w:t>24V，光耦隔离，公共端为24V-</w:t>
            </w:r>
          </w:p>
          <w:p>
            <w:pPr>
              <w:pStyle w:val="156"/>
              <w:keepNext w:val="0"/>
              <w:keepLines w:val="0"/>
              <w:widowControl/>
              <w:suppressLineNumbers w:val="0"/>
              <w:spacing w:beforeAutospacing="0" w:after="0" w:afterAutospacing="0"/>
              <w:ind w:left="0" w:right="0"/>
              <w:jc w:val="left"/>
              <w:rPr>
                <w:rFonts w:hint="default"/>
              </w:rPr>
            </w:pPr>
            <w:r>
              <w:rPr>
                <w:rFonts w:hint="eastAsia" w:ascii="Times New Roman" w:hAnsi="Times New Roman" w:cs="Calibri"/>
                <w:szCs w:val="21"/>
                <w:lang w:bidi="ar"/>
              </w:rPr>
              <w:t>输入电流≥</w:t>
            </w:r>
            <w:r>
              <w:rPr>
                <w:rFonts w:hint="default" w:ascii="Times New Roman" w:hAnsi="Times New Roman" w:cs="Calibri"/>
                <w:szCs w:val="21"/>
                <w:lang w:bidi="ar"/>
              </w:rPr>
              <w:t>5mA</w:t>
            </w:r>
            <w:r>
              <w:rPr>
                <w:rFonts w:hint="eastAsia" w:ascii="Times New Roman" w:hAnsi="Times New Roman" w:cs="Calibri"/>
                <w:szCs w:val="21"/>
                <w:lang w:bidi="ar"/>
              </w:rPr>
              <w:t>，典型值为</w:t>
            </w:r>
            <w:r>
              <w:rPr>
                <w:rFonts w:hint="default" w:ascii="Times New Roman" w:hAnsi="Times New Roman" w:cs="Calibri"/>
                <w:szCs w:val="21"/>
                <w:lang w:bidi="ar"/>
              </w:rPr>
              <w:t>5mA</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bookmarkStart w:id="125" w:name="OLE_LINK43"/>
            <w:bookmarkStart w:id="126" w:name="OLE_LINK45"/>
            <w:bookmarkStart w:id="127" w:name="OLE_LINK44"/>
            <w:r>
              <w:rPr>
                <w:rFonts w:hint="eastAsia"/>
              </w:rPr>
              <w:t>5.2节</w:t>
            </w:r>
            <w:bookmarkEnd w:id="125"/>
            <w:bookmarkEnd w:id="126"/>
            <w:bookmarkEnd w:id="1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6</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单路</w:t>
            </w:r>
            <w:r>
              <w:rPr>
                <w:rFonts w:hint="default"/>
              </w:rPr>
              <w:t>数字量输出</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12</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cs="Calibri"/>
                <w:kern w:val="0"/>
                <w:szCs w:val="21"/>
              </w:rPr>
              <w:t>兼容DC24V(1A)和DC110V(0.2A),隔离,公共端为 COM+</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7</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双路</w:t>
            </w:r>
            <w:r>
              <w:rPr>
                <w:rFonts w:hint="default"/>
              </w:rPr>
              <w:t>数字量输出</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4</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ascii="宋体" w:hAnsi="宋体" w:cs="Calibri"/>
                <w:kern w:val="0"/>
                <w:szCs w:val="21"/>
              </w:rPr>
              <w:t>兼容DC24V(1A)和DC110V(0.2A),隔离</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5.3节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8</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default"/>
              </w:rPr>
              <w:t>模拟量</w:t>
            </w:r>
            <w:r>
              <w:rPr>
                <w:rFonts w:hint="eastAsia"/>
              </w:rPr>
              <w:t>NTC</w:t>
            </w:r>
            <w:r>
              <w:rPr>
                <w:rFonts w:hint="default"/>
              </w:rPr>
              <w:t>输入</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6</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NTC10K，-50～100℃；中心阻值10KΩ</w:t>
            </w:r>
          </w:p>
          <w:p>
            <w:pPr>
              <w:pStyle w:val="156"/>
              <w:keepNext w:val="0"/>
              <w:keepLines w:val="0"/>
              <w:widowControl/>
              <w:suppressLineNumbers w:val="0"/>
              <w:spacing w:beforeAutospacing="0" w:after="0" w:afterAutospacing="0"/>
              <w:ind w:left="0" w:right="0"/>
              <w:jc w:val="left"/>
              <w:rPr>
                <w:rFonts w:hint="default"/>
              </w:rPr>
            </w:pPr>
            <w:r>
              <w:rPr>
                <w:rFonts w:hint="eastAsia"/>
              </w:rPr>
              <w:t>精度±1% (NTC+,NTC-,屏蔽)</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9</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color w:val="0000FF"/>
              </w:rPr>
            </w:pPr>
            <w:r>
              <w:rPr>
                <w:rFonts w:hint="eastAsia"/>
              </w:rPr>
              <w:t>模拟量电流输入</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4-20mA, 输入阻抗为250Ω,分辨率10uA，精度±1%</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10</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模拟量电压输入</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4</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范围0～10V，输入阻抗为1MΩ，分辨率5mV，精度±1%</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11</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模拟量电压供电</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需提供DC5V输出，5V+和5V-</w:t>
            </w:r>
          </w:p>
          <w:p>
            <w:pPr>
              <w:pStyle w:val="156"/>
              <w:keepNext w:val="0"/>
              <w:keepLines w:val="0"/>
              <w:widowControl/>
              <w:suppressLineNumbers w:val="0"/>
              <w:spacing w:beforeAutospacing="0" w:after="0" w:afterAutospacing="0"/>
              <w:ind w:left="0" w:right="0"/>
              <w:jc w:val="left"/>
              <w:rPr>
                <w:rFonts w:hint="default"/>
              </w:rPr>
            </w:pPr>
            <w:r>
              <w:rPr>
                <w:rFonts w:hint="eastAsia"/>
              </w:rPr>
              <w:t>输出电压：5V，</w:t>
            </w:r>
            <w:r>
              <w:rPr>
                <w:rFonts w:hint="default"/>
              </w:rPr>
              <w:t>2</w:t>
            </w:r>
            <w:r>
              <w:rPr>
                <w:rFonts w:hint="eastAsia"/>
              </w:rPr>
              <w:t>%；</w:t>
            </w:r>
          </w:p>
          <w:p>
            <w:pPr>
              <w:pStyle w:val="156"/>
              <w:keepNext w:val="0"/>
              <w:keepLines w:val="0"/>
              <w:widowControl/>
              <w:suppressLineNumbers w:val="0"/>
              <w:spacing w:beforeAutospacing="0" w:after="0" w:afterAutospacing="0"/>
              <w:ind w:left="0" w:right="0"/>
              <w:jc w:val="left"/>
              <w:rPr>
                <w:rFonts w:hint="default"/>
              </w:rPr>
            </w:pPr>
            <w:r>
              <w:rPr>
                <w:rFonts w:hint="eastAsia"/>
              </w:rPr>
              <w:t>输出电流：100mA；</w:t>
            </w:r>
          </w:p>
          <w:p>
            <w:pPr>
              <w:pStyle w:val="156"/>
              <w:keepNext w:val="0"/>
              <w:keepLines w:val="0"/>
              <w:widowControl/>
              <w:suppressLineNumbers w:val="0"/>
              <w:spacing w:beforeAutospacing="0" w:after="0" w:afterAutospacing="0"/>
              <w:ind w:left="0" w:right="0"/>
              <w:jc w:val="left"/>
              <w:rPr>
                <w:rFonts w:hint="default"/>
              </w:rPr>
            </w:pPr>
            <w:r>
              <w:rPr>
                <w:rFonts w:hint="eastAsia"/>
              </w:rPr>
              <w:t>具备输出过流、短路保护功能</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12</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电子膨胀阀</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2</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Style w:val="56"/>
                <w:rFonts w:hint="default" w:ascii="Times New Roman" w:hAnsi="Times New Roman"/>
              </w:rPr>
            </w:pPr>
            <w:r>
              <w:rPr>
                <w:rFonts w:hint="eastAsia"/>
              </w:rPr>
              <w:t>每路驱动</w:t>
            </w:r>
            <w:r>
              <w:rPr>
                <w:rStyle w:val="56"/>
                <w:rFonts w:hint="eastAsia" w:ascii="Times New Roman" w:hAnsi="Times New Roman"/>
              </w:rPr>
              <w:t>提供一路12V，驱动电流不低于1.04A，</w:t>
            </w:r>
            <w:r>
              <w:rPr>
                <w:rFonts w:hint="eastAsia"/>
              </w:rPr>
              <w:t>可驱动两个电子膨胀阀</w:t>
            </w:r>
          </w:p>
          <w:p>
            <w:pPr>
              <w:keepNext w:val="0"/>
              <w:keepLines w:val="0"/>
              <w:suppressLineNumbers w:val="0"/>
              <w:spacing w:before="0" w:beforeAutospacing="0" w:after="0" w:afterAutospacing="0"/>
              <w:ind w:left="0" w:right="0"/>
              <w:rPr>
                <w:rFonts w:hint="default"/>
                <w:szCs w:val="20"/>
              </w:rPr>
            </w:pPr>
          </w:p>
          <w:p>
            <w:pPr>
              <w:pStyle w:val="156"/>
              <w:keepNext w:val="0"/>
              <w:keepLines w:val="0"/>
              <w:widowControl/>
              <w:suppressLineNumbers w:val="0"/>
              <w:spacing w:beforeAutospacing="0" w:after="0" w:afterAutospacing="0"/>
              <w:ind w:left="0" w:right="0"/>
              <w:jc w:val="left"/>
              <w:rPr>
                <w:rFonts w:hint="default"/>
              </w:rPr>
            </w:pPr>
            <w:r>
              <w:rPr>
                <w:rFonts w:hint="eastAsia"/>
              </w:rPr>
              <w:t>外部接口每路在内部扩展2个通道接口</w:t>
            </w:r>
          </w:p>
          <w:p>
            <w:pPr>
              <w:pStyle w:val="156"/>
              <w:keepNext w:val="0"/>
              <w:keepLines w:val="0"/>
              <w:widowControl/>
              <w:suppressLineNumbers w:val="0"/>
              <w:spacing w:beforeAutospacing="0" w:after="0" w:afterAutospacing="0"/>
              <w:ind w:left="0" w:right="0"/>
              <w:jc w:val="left"/>
              <w:rPr>
                <w:rFonts w:hint="default"/>
              </w:rPr>
            </w:pPr>
            <w:r>
              <w:rPr>
                <w:rFonts w:hint="eastAsia"/>
              </w:rPr>
              <w:t>即共计4个通道接口，每个通道5根线：公共端电源12Vdc+，A+，A-，B+，B-</w:t>
            </w:r>
          </w:p>
          <w:p>
            <w:pPr>
              <w:pStyle w:val="156"/>
              <w:keepNext w:val="0"/>
              <w:keepLines w:val="0"/>
              <w:widowControl/>
              <w:suppressLineNumbers w:val="0"/>
              <w:spacing w:beforeAutospacing="0" w:after="0" w:afterAutospacing="0"/>
              <w:ind w:left="0" w:right="0"/>
              <w:jc w:val="left"/>
              <w:rPr>
                <w:rFonts w:hint="default" w:ascii="宋体" w:hAnsi="宋体" w:cs="宋体"/>
              </w:rPr>
            </w:pPr>
            <w:r>
              <w:rPr>
                <w:rFonts w:hint="eastAsia"/>
              </w:rPr>
              <w:t>12Vdc+的波动范围：</w:t>
            </w:r>
            <w:r>
              <w:rPr>
                <w:rFonts w:hint="eastAsia" w:ascii="宋体" w:hAnsi="宋体" w:cs="宋体"/>
              </w:rPr>
              <w:t>±</w:t>
            </w:r>
            <w:r>
              <w:rPr>
                <w:rFonts w:hint="eastAsia"/>
              </w:rPr>
              <w:t>5%</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5.8节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default"/>
              </w:rPr>
              <w:t>1</w:t>
            </w:r>
            <w:r>
              <w:rPr>
                <w:rFonts w:hint="eastAsia"/>
              </w:rPr>
              <w:t>3</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default"/>
              </w:rPr>
              <w:t>RS485</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波特率115200bps,隔离,带120Ω终端电阻</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5.6节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14</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CAN</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波特率1Mbps,隔离,带120Ω终端电阻</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5.7节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15</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端口形式</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将1路485和1路CAN外部接口做成扩展2个通道接口，即内部将两个通道短接，另外120欧终端电阻外部可短接</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16</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更新程序</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可通过CAN和RS485通信端口更新程序，更新程序过程应用保护机制，异常断电或中断更新后可再次操作</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17</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设备地址编码</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设备通过连接器提供两个信号用于设备编码，两个信号断开一个编码，连接另一个编码。</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1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18</w:t>
            </w:r>
          </w:p>
        </w:tc>
        <w:tc>
          <w:tcPr>
            <w:tcW w:w="1281"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防护等级</w:t>
            </w:r>
          </w:p>
        </w:tc>
        <w:tc>
          <w:tcPr>
            <w:tcW w:w="520"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w:t>
            </w:r>
          </w:p>
        </w:tc>
        <w:tc>
          <w:tcPr>
            <w:tcW w:w="5046"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r>
              <w:rPr>
                <w:rFonts w:hint="eastAsia"/>
              </w:rPr>
              <w:t>IP54</w:t>
            </w:r>
          </w:p>
        </w:tc>
        <w:tc>
          <w:tcPr>
            <w:tcW w:w="1148" w:type="dxa"/>
            <w:tcBorders>
              <w:top w:val="single" w:color="auto" w:sz="4" w:space="0"/>
              <w:left w:val="single" w:color="auto" w:sz="4" w:space="0"/>
              <w:bottom w:val="single" w:color="auto" w:sz="4" w:space="0"/>
              <w:right w:val="single" w:color="auto" w:sz="4" w:space="0"/>
            </w:tcBorders>
          </w:tcPr>
          <w:p>
            <w:pPr>
              <w:pStyle w:val="156"/>
              <w:keepNext w:val="0"/>
              <w:keepLines w:val="0"/>
              <w:widowControl/>
              <w:suppressLineNumbers w:val="0"/>
              <w:spacing w:beforeAutospacing="0" w:after="0" w:afterAutospacing="0"/>
              <w:ind w:left="0" w:right="0"/>
              <w:jc w:val="left"/>
              <w:rPr>
                <w:rFonts w:hint="default"/>
              </w:rPr>
            </w:pPr>
          </w:p>
        </w:tc>
      </w:tr>
    </w:tbl>
    <w:p>
      <w:pPr>
        <w:pStyle w:val="2"/>
        <w:tabs>
          <w:tab w:val="left" w:pos="397"/>
        </w:tabs>
        <w:spacing w:before="240" w:after="120"/>
      </w:pPr>
      <w:bookmarkStart w:id="128" w:name="_Toc136164100"/>
      <w:r>
        <w:t>电路设计原则</w:t>
      </w:r>
      <w:bookmarkEnd w:id="128"/>
    </w:p>
    <w:p>
      <w:pPr>
        <w:pStyle w:val="3"/>
        <w:tabs>
          <w:tab w:val="left" w:pos="0"/>
          <w:tab w:val="left" w:pos="624"/>
          <w:tab w:val="clear" w:pos="567"/>
        </w:tabs>
        <w:spacing w:before="24" w:after="24"/>
      </w:pPr>
      <w:bookmarkStart w:id="129" w:name="_Toc136164101"/>
      <w:r>
        <w:t>电源</w:t>
      </w:r>
      <w:bookmarkEnd w:id="129"/>
    </w:p>
    <w:p>
      <w:pPr>
        <w:pStyle w:val="4"/>
        <w:tabs>
          <w:tab w:val="left" w:pos="851"/>
        </w:tabs>
        <w:spacing w:before="24" w:after="24"/>
      </w:pPr>
      <w:r>
        <w:rPr>
          <w:rFonts w:hint="eastAsia"/>
        </w:rPr>
        <w:t>DC24V输入</w:t>
      </w:r>
    </w:p>
    <w:p>
      <w:pPr>
        <w:ind w:firstLine="480"/>
      </w:pPr>
      <w:r>
        <w:t>该控制器采用的24Vdc电源输入,电压波动范围为：16.8Vdc～30Vdc（符合EN50155标准），具有反接保护与过载保护。</w:t>
      </w:r>
    </w:p>
    <w:p>
      <w:pPr>
        <w:ind w:firstLine="480"/>
      </w:pPr>
      <w:r>
        <w:t>电源电路要求具有输入反极性保护功能，输入直流电源极性接反时，控制器不工作。</w:t>
      </w:r>
    </w:p>
    <w:p>
      <w:pPr>
        <w:ind w:firstLine="480"/>
      </w:pPr>
      <w:r>
        <w:t>输入电源电压的波动范围及控制器对应的工作状态定义如下：</w:t>
      </w:r>
    </w:p>
    <w:p>
      <w:pPr>
        <w:ind w:firstLine="480"/>
      </w:pPr>
      <w:r>
        <w:t>0.7Un～1.25Un(16.8Vdc～30Vdc)：电压正常波动范围；</w:t>
      </w:r>
    </w:p>
    <w:p>
      <w:pPr>
        <w:ind w:firstLine="480"/>
      </w:pPr>
      <w:r>
        <w:t>0.6Un～1.4Un(14.4Vdc～33.6Vdc)：如果波动持续时间不超过0.1S，控制器的功能不应改变；</w:t>
      </w:r>
    </w:p>
    <w:p>
      <w:pPr>
        <w:ind w:firstLine="480"/>
      </w:pPr>
      <w:r>
        <w:t>1.25Un～1.4Un(30Vdc～33.6Vdc):0.1S～1S以内，控制器可能不正常但不应导致控制器损坏；</w:t>
      </w:r>
    </w:p>
    <w:p>
      <w:pPr>
        <w:pStyle w:val="4"/>
        <w:tabs>
          <w:tab w:val="left" w:pos="851"/>
        </w:tabs>
        <w:spacing w:before="24" w:after="24"/>
      </w:pPr>
      <w:r>
        <w:rPr>
          <w:rFonts w:hint="eastAsia"/>
        </w:rPr>
        <w:t>DC5V输出</w:t>
      </w:r>
    </w:p>
    <w:p>
      <w:pPr>
        <w:ind w:firstLine="480"/>
      </w:pPr>
      <w:r>
        <w:t>输出电压：5V，</w:t>
      </w:r>
      <w:r>
        <w:rPr>
          <w:rFonts w:hint="eastAsia"/>
        </w:rPr>
        <w:t>2</w:t>
      </w:r>
      <w:r>
        <w:t>%</w:t>
      </w:r>
      <w:r>
        <w:rPr>
          <w:rFonts w:hint="eastAsia"/>
        </w:rPr>
        <w:t>；</w:t>
      </w:r>
    </w:p>
    <w:p>
      <w:pPr>
        <w:ind w:firstLine="480"/>
      </w:pPr>
      <w:r>
        <w:t>输出电流：100mA</w:t>
      </w:r>
      <w:r>
        <w:rPr>
          <w:rFonts w:hint="eastAsia"/>
        </w:rPr>
        <w:t>；</w:t>
      </w:r>
    </w:p>
    <w:p>
      <w:pPr>
        <w:ind w:firstLine="480"/>
      </w:pPr>
      <w:r>
        <w:t>具备输出过流、短路保护功能。</w:t>
      </w:r>
    </w:p>
    <w:p>
      <w:pPr>
        <w:pStyle w:val="3"/>
        <w:tabs>
          <w:tab w:val="left" w:pos="0"/>
          <w:tab w:val="left" w:pos="624"/>
          <w:tab w:val="clear" w:pos="567"/>
        </w:tabs>
        <w:spacing w:before="24" w:after="24"/>
      </w:pPr>
      <w:bookmarkStart w:id="130" w:name="_Toc136164102"/>
      <w:r>
        <w:t>数字量输入点规格</w:t>
      </w:r>
      <w:bookmarkEnd w:id="130"/>
    </w:p>
    <w:p>
      <w:pPr>
        <w:pStyle w:val="4"/>
        <w:tabs>
          <w:tab w:val="left" w:pos="851"/>
        </w:tabs>
        <w:spacing w:before="24" w:after="24"/>
      </w:pPr>
      <w:r>
        <w:t>隔离要求</w:t>
      </w:r>
    </w:p>
    <w:p>
      <w:pPr>
        <w:ind w:firstLine="480"/>
      </w:pPr>
      <w:r>
        <w:t>输入点到控制板逻辑电路之间采用光耦隔离。</w:t>
      </w:r>
    </w:p>
    <w:p>
      <w:pPr>
        <w:ind w:firstLine="480"/>
      </w:pPr>
      <w:r>
        <w:t>24Vdc输入：功能绝缘</w:t>
      </w:r>
      <w:r>
        <w:rPr>
          <w:rFonts w:hint="eastAsia"/>
        </w:rPr>
        <w:t>。</w:t>
      </w:r>
    </w:p>
    <w:p>
      <w:pPr>
        <w:pStyle w:val="4"/>
        <w:tabs>
          <w:tab w:val="left" w:pos="851"/>
        </w:tabs>
        <w:spacing w:before="24" w:after="24"/>
      </w:pPr>
      <w:r>
        <w:t>输入类型</w:t>
      </w:r>
    </w:p>
    <w:p>
      <w:pPr>
        <w:ind w:firstLine="480"/>
      </w:pPr>
      <w:r>
        <w:t>只支持源型输入。</w:t>
      </w:r>
    </w:p>
    <w:p>
      <w:pPr>
        <w:pStyle w:val="4"/>
        <w:tabs>
          <w:tab w:val="left" w:pos="851"/>
        </w:tabs>
        <w:spacing w:before="24" w:after="24"/>
      </w:pPr>
      <w:r>
        <w:t>输入特性</w:t>
      </w:r>
    </w:p>
    <w:p>
      <w:pPr>
        <w:ind w:firstLine="480"/>
      </w:pPr>
      <w:r>
        <w:rPr>
          <w:rFonts w:hint="eastAsia" w:asciiTheme="majorEastAsia" w:hAnsiTheme="majorEastAsia" w:eastAsiaTheme="majorEastAsia"/>
        </w:rPr>
        <w:t>DC</w:t>
      </w:r>
      <w:r>
        <w:rPr>
          <w:rFonts w:asciiTheme="majorEastAsia" w:hAnsiTheme="majorEastAsia" w:eastAsiaTheme="majorEastAsia"/>
        </w:rPr>
        <w:t xml:space="preserve"> 24V</w:t>
      </w:r>
      <w:r>
        <w:t>输入特性</w:t>
      </w:r>
      <w:r>
        <w:rPr>
          <w:rFonts w:hint="eastAsia"/>
        </w:rPr>
        <w:t>：DC</w:t>
      </w:r>
      <w:r>
        <w:t>24V输入电压波动范围：±30%</w:t>
      </w:r>
      <w:r>
        <w:rPr>
          <w:rFonts w:hint="eastAsia"/>
        </w:rPr>
        <w:t>。</w:t>
      </w:r>
    </w:p>
    <w:p>
      <w:pPr>
        <w:ind w:firstLine="480"/>
      </w:pPr>
      <w:r>
        <w:t>当输入信号电压在7.0V以下时判断为断开状态（OFF），当输入信号电压大于14.0V时判断为闭合状态（ON），在7.0V～14.0V之间其信号状态不确定。输入端设计的闭合状态输入信号的额定电压为DC24V，波动范围及控制器对应的工作状态定义参照控制器输入电源电压的定义。输入端在额定输入信号电压条件下，取用信号电流</w:t>
      </w:r>
      <w:r>
        <w:rPr>
          <w:rFonts w:hint="eastAsia"/>
        </w:rPr>
        <w:t>5mA</w:t>
      </w:r>
      <w:r>
        <w:t xml:space="preserve"> (典型值)。各点采用硬件滤波，滤波常数为10ms。</w:t>
      </w:r>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 xml:space="preserve"> 数字量输入相关参数</w:t>
      </w:r>
    </w:p>
    <w:tbl>
      <w:tblPr>
        <w:tblStyle w:val="60"/>
        <w:tblW w:w="765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
      <w:tblGrid>
        <w:gridCol w:w="1276"/>
        <w:gridCol w:w="2551"/>
        <w:gridCol w:w="38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3827" w:type="dxa"/>
            <w:gridSpan w:val="2"/>
            <w:tcBorders>
              <w:right w:val="single" w:color="auto" w:sz="6" w:space="0"/>
            </w:tcBorders>
            <w:shd w:val="pct20"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3827" w:type="dxa"/>
            <w:tcBorders>
              <w:left w:val="single" w:color="auto" w:sz="6" w:space="0"/>
              <w:right w:val="single" w:color="auto" w:sz="6" w:space="0"/>
            </w:tcBorders>
            <w:shd w:val="pct20" w:color="auto" w:fill="auto"/>
            <w:vAlign w:val="center"/>
          </w:tcPr>
          <w:p>
            <w:pPr>
              <w:pStyle w:val="156"/>
              <w:keepNext w:val="0"/>
              <w:keepLines w:val="0"/>
              <w:widowControl/>
              <w:suppressLineNumbers w:val="0"/>
              <w:spacing w:beforeAutospacing="0" w:after="0" w:afterAutospacing="0"/>
              <w:ind w:left="0" w:right="0"/>
              <w:rPr>
                <w:rFonts w:hint="default"/>
              </w:rPr>
            </w:pPr>
            <w:r>
              <w:rPr>
                <w:rFonts w:hint="default"/>
              </w:rPr>
              <w:t>普通输入端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restart"/>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输入端口</w:t>
            </w: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输入阻抗</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5.6k（最小）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输入电流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eastAsia"/>
              </w:rPr>
              <w:t>5mA</w:t>
            </w:r>
            <w:r>
              <w:rPr>
                <w:rFonts w:hint="default"/>
              </w:rPr>
              <w:t xml:space="preserve"> TYP.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ON 电压/电流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DC14V Min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99" w:type="dxa"/>
            <w:bottom w:w="0" w:type="dxa"/>
            <w:right w:w="99" w:type="dxa"/>
          </w:tblCellMar>
        </w:tblPrEx>
        <w:trPr>
          <w:cantSplit/>
          <w:trHeight w:val="405" w:hRule="atLeast"/>
          <w:jc w:val="center"/>
        </w:trPr>
        <w:tc>
          <w:tcPr>
            <w:tcW w:w="1276" w:type="dxa"/>
            <w:vMerge w:val="continue"/>
            <w:tcBorders>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p>
        </w:tc>
        <w:tc>
          <w:tcPr>
            <w:tcW w:w="2551"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OFF 电压/电流</w:t>
            </w:r>
          </w:p>
        </w:tc>
        <w:tc>
          <w:tcPr>
            <w:tcW w:w="3827" w:type="dxa"/>
            <w:tcBorders>
              <w:left w:val="single" w:color="auto" w:sz="6" w:space="0"/>
              <w:right w:val="single" w:color="auto" w:sz="6"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DC7V Max</w:t>
            </w:r>
          </w:p>
        </w:tc>
      </w:tr>
    </w:tbl>
    <w:p>
      <w:pPr>
        <w:pStyle w:val="3"/>
        <w:tabs>
          <w:tab w:val="left" w:pos="0"/>
          <w:tab w:val="left" w:pos="624"/>
          <w:tab w:val="clear" w:pos="567"/>
        </w:tabs>
        <w:spacing w:before="24" w:after="24"/>
      </w:pPr>
      <w:bookmarkStart w:id="131" w:name="_Toc136164103"/>
      <w:r>
        <w:t>数字量输出点规格</w:t>
      </w:r>
      <w:bookmarkEnd w:id="131"/>
    </w:p>
    <w:p>
      <w:pPr>
        <w:pStyle w:val="4"/>
        <w:tabs>
          <w:tab w:val="left" w:pos="851"/>
        </w:tabs>
        <w:spacing w:before="24" w:after="24"/>
      </w:pPr>
      <w:r>
        <w:t>输出隔离</w:t>
      </w:r>
    </w:p>
    <w:p>
      <w:pPr>
        <w:ind w:firstLine="480"/>
      </w:pPr>
      <w:r>
        <w:t xml:space="preserve">输出与内部电路之间采用隔离设计。继电器输出的不同公共端的输出端之间采用加强绝缘隔离。 </w:t>
      </w:r>
    </w:p>
    <w:p>
      <w:pPr>
        <w:pStyle w:val="4"/>
        <w:tabs>
          <w:tab w:val="left" w:pos="851"/>
        </w:tabs>
        <w:spacing w:before="24" w:after="24"/>
      </w:pPr>
      <w:r>
        <w:t>输出特性</w:t>
      </w:r>
    </w:p>
    <w:p>
      <w:pPr>
        <w:pStyle w:val="193"/>
        <w:numPr>
          <w:ilvl w:val="0"/>
          <w:numId w:val="12"/>
        </w:numPr>
      </w:pPr>
      <w:r>
        <w:t>输出有效（状态“1”）时为闭合状态；输出禁止（状态“0”）时为断开状态；依据输出点数配置，设有多个公共端COM，适应不同电位的控制电路。</w:t>
      </w:r>
    </w:p>
    <w:p>
      <w:pPr>
        <w:pStyle w:val="193"/>
        <w:numPr>
          <w:ilvl w:val="0"/>
          <w:numId w:val="12"/>
        </w:numPr>
      </w:pPr>
      <w:r>
        <w:t>单点额定电流为1A；每个公共端的总电流小于8A</w:t>
      </w:r>
      <w:r>
        <w:rPr>
          <w:rFonts w:hint="eastAsia"/>
        </w:rPr>
        <w:t>。</w:t>
      </w:r>
    </w:p>
    <w:p>
      <w:pPr>
        <w:pStyle w:val="193"/>
        <w:numPr>
          <w:ilvl w:val="0"/>
          <w:numId w:val="12"/>
        </w:numPr>
      </w:pPr>
      <w:r>
        <w:t>可外接负载10-110Vdc</w:t>
      </w:r>
      <w:r>
        <w:rPr>
          <w:rFonts w:hint="eastAsia"/>
        </w:rPr>
        <w:t>。</w:t>
      </w:r>
    </w:p>
    <w:p>
      <w:pPr>
        <w:pStyle w:val="193"/>
        <w:numPr>
          <w:ilvl w:val="0"/>
          <w:numId w:val="12"/>
        </w:numPr>
      </w:pPr>
      <w:r>
        <w:t>最小负载电流：10mA</w:t>
      </w:r>
      <w:r>
        <w:rPr>
          <w:rFonts w:hint="eastAsia"/>
        </w:rPr>
        <w:t>。</w:t>
      </w:r>
    </w:p>
    <w:p>
      <w:pPr>
        <w:pStyle w:val="193"/>
        <w:numPr>
          <w:ilvl w:val="0"/>
          <w:numId w:val="12"/>
        </w:numPr>
      </w:pPr>
      <w:r>
        <w:t>继电器的吸合与断开的时间小于1</w:t>
      </w:r>
      <w:r>
        <w:rPr>
          <w:rFonts w:hint="eastAsia"/>
        </w:rPr>
        <w:t>0</w:t>
      </w:r>
      <w:r>
        <w:t>ms</w:t>
      </w:r>
      <w:r>
        <w:rPr>
          <w:rFonts w:hint="eastAsia"/>
        </w:rPr>
        <w:t>。</w:t>
      </w:r>
    </w:p>
    <w:p>
      <w:pPr>
        <w:pStyle w:val="193"/>
        <w:numPr>
          <w:ilvl w:val="0"/>
          <w:numId w:val="12"/>
        </w:numPr>
      </w:pPr>
      <w:r>
        <w:rPr>
          <w:rFonts w:hint="eastAsia"/>
        </w:rPr>
        <w:t>DO1-DO4对应DO_COM1+、DO_COM1-；DO5-DO8对应DO_COM2+、DO_COM2-；DO9-DO12对应DO_COM3+、DO_COM3-</w:t>
      </w:r>
    </w:p>
    <w:p>
      <w:pPr>
        <w:pStyle w:val="3"/>
        <w:tabs>
          <w:tab w:val="left" w:pos="0"/>
          <w:tab w:val="left" w:pos="624"/>
          <w:tab w:val="clear" w:pos="567"/>
        </w:tabs>
        <w:spacing w:before="24" w:after="24"/>
      </w:pPr>
      <w:bookmarkStart w:id="132" w:name="_Toc136164104"/>
      <w:r>
        <w:t>模拟量输入规格</w:t>
      </w:r>
      <w:bookmarkEnd w:id="132"/>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5</w:t>
      </w:r>
      <w:r>
        <w:fldChar w:fldCharType="end"/>
      </w:r>
      <w:r>
        <w:rPr>
          <w:rFonts w:hint="eastAsia"/>
        </w:rPr>
        <w:t xml:space="preserve"> 模拟量输入相关参数</w:t>
      </w:r>
    </w:p>
    <w:tbl>
      <w:tblPr>
        <w:tblStyle w:val="60"/>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1"/>
        <w:gridCol w:w="1548"/>
        <w:gridCol w:w="3710"/>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0" w:type="dxa"/>
            <w:gridSpan w:val="3"/>
            <w:shd w:val="clear" w:color="auto" w:fill="C0C0C0"/>
            <w:vAlign w:val="center"/>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6237" w:type="dxa"/>
            <w:gridSpan w:val="2"/>
            <w:shd w:val="clear" w:color="auto" w:fill="C0C0C0"/>
            <w:vAlign w:val="center"/>
          </w:tcPr>
          <w:p>
            <w:pPr>
              <w:pStyle w:val="156"/>
              <w:keepNext w:val="0"/>
              <w:keepLines w:val="0"/>
              <w:widowControl/>
              <w:suppressLineNumbers w:val="0"/>
              <w:spacing w:beforeAutospacing="0" w:after="0" w:afterAutospacing="0"/>
              <w:ind w:left="0" w:right="0"/>
              <w:rPr>
                <w:rFonts w:hint="default"/>
              </w:rPr>
            </w:pPr>
            <w:r>
              <w:rPr>
                <w:rFonts w:hint="default"/>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atLeast"/>
          <w:jc w:val="center"/>
        </w:trPr>
        <w:tc>
          <w:tcPr>
            <w:tcW w:w="862" w:type="dxa"/>
            <w:gridSpan w:val="2"/>
            <w:vMerge w:val="restart"/>
            <w:vAlign w:val="center"/>
          </w:tcPr>
          <w:p>
            <w:pPr>
              <w:pStyle w:val="156"/>
              <w:keepNext w:val="0"/>
              <w:keepLines w:val="0"/>
              <w:widowControl/>
              <w:suppressLineNumbers w:val="0"/>
              <w:spacing w:beforeAutospacing="0" w:after="0" w:afterAutospacing="0"/>
              <w:ind w:left="0" w:right="0"/>
              <w:rPr>
                <w:rFonts w:hint="default"/>
              </w:rPr>
            </w:pPr>
            <w:r>
              <w:rPr>
                <w:rFonts w:hint="default"/>
              </w:rPr>
              <w:t>模拟输入范围</w:t>
            </w: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电压输入</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0～10V DC（输入阻抗为1MΩ）</w:t>
            </w:r>
          </w:p>
        </w:tc>
        <w:tc>
          <w:tcPr>
            <w:tcW w:w="2527" w:type="dxa"/>
            <w:vMerge w:val="restart"/>
          </w:tcPr>
          <w:p>
            <w:pPr>
              <w:pStyle w:val="156"/>
              <w:keepNext w:val="0"/>
              <w:keepLines w:val="0"/>
              <w:widowControl/>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862" w:type="dxa"/>
            <w:gridSpan w:val="2"/>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电流输入</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 xml:space="preserve">4～20mA (输入阻抗为250Ω) </w:t>
            </w:r>
          </w:p>
        </w:tc>
        <w:tc>
          <w:tcPr>
            <w:tcW w:w="2527" w:type="dxa"/>
            <w:vMerge w:val="continue"/>
          </w:tcPr>
          <w:p>
            <w:pPr>
              <w:pStyle w:val="156"/>
              <w:keepNext w:val="0"/>
              <w:keepLines w:val="0"/>
              <w:widowControl/>
              <w:suppressLineNumbers w:val="0"/>
              <w:spacing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862" w:type="dxa"/>
            <w:gridSpan w:val="2"/>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4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NTC</w:t>
            </w:r>
          </w:p>
        </w:tc>
        <w:tc>
          <w:tcPr>
            <w:tcW w:w="3710" w:type="dxa"/>
          </w:tcPr>
          <w:p>
            <w:pPr>
              <w:pStyle w:val="156"/>
              <w:keepNext w:val="0"/>
              <w:keepLines w:val="0"/>
              <w:widowControl/>
              <w:suppressLineNumbers w:val="0"/>
              <w:spacing w:beforeAutospacing="0" w:after="0" w:afterAutospacing="0"/>
              <w:ind w:left="0" w:right="0"/>
              <w:rPr>
                <w:rFonts w:hint="default"/>
              </w:rPr>
            </w:pPr>
            <w:r>
              <w:rPr>
                <w:rFonts w:hint="default"/>
              </w:rPr>
              <w:t>-50～+100</w:t>
            </w:r>
            <w:r>
              <w:rPr>
                <w:rFonts w:hint="eastAsia"/>
              </w:rPr>
              <w:t>℃</w:t>
            </w:r>
          </w:p>
        </w:tc>
        <w:tc>
          <w:tcPr>
            <w:tcW w:w="2527" w:type="dxa"/>
          </w:tcPr>
          <w:p>
            <w:pPr>
              <w:pStyle w:val="156"/>
              <w:keepNext w:val="0"/>
              <w:keepLines w:val="0"/>
              <w:widowControl/>
              <w:suppressLineNumbers w:val="0"/>
              <w:spacing w:beforeAutospacing="0" w:after="0" w:afterAutospacing="0"/>
              <w:ind w:left="0" w:right="0"/>
              <w:rPr>
                <w:rFonts w:hint="default"/>
              </w:rPr>
            </w:pPr>
            <w:r>
              <w:rPr>
                <w:rFonts w:hint="eastAsia"/>
              </w:rPr>
              <w:t>中心阻值10KΩ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410" w:type="dxa"/>
            <w:gridSpan w:val="3"/>
            <w:vAlign w:val="center"/>
          </w:tcPr>
          <w:p>
            <w:pPr>
              <w:pStyle w:val="156"/>
              <w:keepNext w:val="0"/>
              <w:keepLines w:val="0"/>
              <w:widowControl/>
              <w:suppressLineNumbers w:val="0"/>
              <w:spacing w:beforeAutospacing="0" w:after="0" w:afterAutospacing="0"/>
              <w:ind w:left="0" w:right="0"/>
              <w:rPr>
                <w:rFonts w:hint="default"/>
              </w:rPr>
            </w:pPr>
            <w:r>
              <w:rPr>
                <w:rFonts w:hint="default"/>
              </w:rPr>
              <w:t>转换速度</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15ms/通道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851" w:type="dxa"/>
            <w:vMerge w:val="restart"/>
            <w:vAlign w:val="center"/>
          </w:tcPr>
          <w:p>
            <w:pPr>
              <w:pStyle w:val="156"/>
              <w:keepNext w:val="0"/>
              <w:keepLines w:val="0"/>
              <w:widowControl/>
              <w:suppressLineNumbers w:val="0"/>
              <w:spacing w:beforeAutospacing="0" w:after="0" w:afterAutospacing="0"/>
              <w:ind w:left="0" w:right="0"/>
              <w:rPr>
                <w:rFonts w:hint="default"/>
              </w:rPr>
            </w:pPr>
            <w:r>
              <w:rPr>
                <w:rFonts w:hint="default"/>
              </w:rPr>
              <w:t>分辨率</w:t>
            </w:r>
          </w:p>
        </w:tc>
        <w:tc>
          <w:tcPr>
            <w:tcW w:w="1559"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电压输入</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5mV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851" w:type="dxa"/>
            <w:vMerge w:val="continue"/>
            <w:vAlign w:val="center"/>
          </w:tcPr>
          <w:p>
            <w:pPr>
              <w:pStyle w:val="156"/>
              <w:keepNext w:val="0"/>
              <w:keepLines w:val="0"/>
              <w:widowControl/>
              <w:suppressLineNumbers w:val="0"/>
              <w:spacing w:beforeAutospacing="0" w:after="0" w:afterAutospacing="0"/>
              <w:ind w:left="0" w:right="0"/>
              <w:rPr>
                <w:rFonts w:hint="default"/>
              </w:rPr>
            </w:pPr>
          </w:p>
        </w:tc>
        <w:tc>
          <w:tcPr>
            <w:tcW w:w="1559"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电流输入</w:t>
            </w:r>
          </w:p>
        </w:tc>
        <w:tc>
          <w:tcPr>
            <w:tcW w:w="6237" w:type="dxa"/>
            <w:gridSpan w:val="2"/>
            <w:vAlign w:val="center"/>
          </w:tcPr>
          <w:p>
            <w:pPr>
              <w:pStyle w:val="156"/>
              <w:keepNext w:val="0"/>
              <w:keepLines w:val="0"/>
              <w:widowControl/>
              <w:suppressLineNumbers w:val="0"/>
              <w:spacing w:beforeAutospacing="0" w:after="0" w:afterAutospacing="0"/>
              <w:ind w:left="0" w:right="0"/>
              <w:rPr>
                <w:rFonts w:hint="default"/>
              </w:rPr>
            </w:pPr>
            <w:r>
              <w:rPr>
                <w:rFonts w:hint="default"/>
              </w:rPr>
              <w:t>10uA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 w:hRule="atLeast"/>
          <w:jc w:val="center"/>
        </w:trPr>
        <w:tc>
          <w:tcPr>
            <w:tcW w:w="2410" w:type="dxa"/>
            <w:gridSpan w:val="3"/>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精度</w:t>
            </w:r>
          </w:p>
        </w:tc>
        <w:tc>
          <w:tcPr>
            <w:tcW w:w="6237" w:type="dxa"/>
            <w:gridSpan w:val="2"/>
            <w:tcBorders>
              <w:bottom w:val="single" w:color="auto" w:sz="4" w:space="0"/>
            </w:tcBorders>
            <w:vAlign w:val="center"/>
          </w:tcPr>
          <w:p>
            <w:pPr>
              <w:pStyle w:val="156"/>
              <w:keepNext w:val="0"/>
              <w:keepLines w:val="0"/>
              <w:widowControl/>
              <w:suppressLineNumbers w:val="0"/>
              <w:spacing w:beforeAutospacing="0" w:after="0" w:afterAutospacing="0"/>
              <w:ind w:left="0" w:right="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2410" w:type="dxa"/>
            <w:gridSpan w:val="3"/>
            <w:vAlign w:val="center"/>
          </w:tcPr>
          <w:p>
            <w:pPr>
              <w:pStyle w:val="156"/>
              <w:keepNext w:val="0"/>
              <w:keepLines w:val="0"/>
              <w:widowControl/>
              <w:suppressLineNumbers w:val="0"/>
              <w:spacing w:beforeAutospacing="0" w:after="0" w:afterAutospacing="0"/>
              <w:ind w:left="0" w:right="0"/>
              <w:rPr>
                <w:rFonts w:hint="default"/>
              </w:rPr>
            </w:pPr>
            <w:r>
              <w:rPr>
                <w:rFonts w:hint="default"/>
              </w:rPr>
              <w:t>隔离</w:t>
            </w:r>
          </w:p>
        </w:tc>
        <w:tc>
          <w:tcPr>
            <w:tcW w:w="6237" w:type="dxa"/>
            <w:gridSpan w:val="2"/>
          </w:tcPr>
          <w:p>
            <w:pPr>
              <w:pStyle w:val="156"/>
              <w:keepNext w:val="0"/>
              <w:keepLines w:val="0"/>
              <w:widowControl/>
              <w:suppressLineNumbers w:val="0"/>
              <w:spacing w:beforeAutospacing="0" w:after="0" w:afterAutospacing="0"/>
              <w:ind w:left="0" w:right="0"/>
              <w:rPr>
                <w:rFonts w:hint="default"/>
              </w:rPr>
            </w:pPr>
            <w:r>
              <w:rPr>
                <w:rFonts w:hint="default"/>
              </w:rPr>
              <w:t>模拟电路和数字电路之间用光电耦合器进行隔离。模拟电路和外部电源用DC/DC进行隔离。模拟通道之间不隔离。</w:t>
            </w:r>
          </w:p>
        </w:tc>
      </w:tr>
    </w:tbl>
    <w:p>
      <w:pPr>
        <w:ind w:firstLine="174" w:firstLineChars="83"/>
      </w:pPr>
      <w:r>
        <w:rPr>
          <w:rFonts w:hint="eastAsia"/>
        </w:rPr>
        <w:t>依据附录1 NTC10K温度传感器阻值对应表，采集精度满足如下要求：</w:t>
      </w:r>
    </w:p>
    <w:p>
      <w:pPr>
        <w:pStyle w:val="203"/>
        <w:numPr>
          <w:ilvl w:val="0"/>
          <w:numId w:val="13"/>
        </w:numPr>
      </w:pPr>
      <w:r>
        <w:rPr>
          <w:rFonts w:hint="eastAsia"/>
        </w:rPr>
        <w:t>-15℃≤Tc&lt;55℃范围时误差小于0.2℃</w:t>
      </w:r>
    </w:p>
    <w:p>
      <w:pPr>
        <w:pStyle w:val="203"/>
        <w:numPr>
          <w:ilvl w:val="0"/>
          <w:numId w:val="13"/>
        </w:numPr>
      </w:pPr>
      <w:r>
        <w:rPr>
          <w:rFonts w:hint="eastAsia"/>
        </w:rPr>
        <w:t>-25℃≤Tc&lt;-15℃及55℃≤Tc&lt;70℃时误差小于0.4℃</w:t>
      </w:r>
    </w:p>
    <w:p>
      <w:pPr>
        <w:pStyle w:val="203"/>
        <w:numPr>
          <w:ilvl w:val="0"/>
          <w:numId w:val="13"/>
        </w:numPr>
      </w:pPr>
      <w:r>
        <w:rPr>
          <w:rFonts w:hint="eastAsia"/>
        </w:rPr>
        <w:t>-40℃≤Tc&lt;-25℃及70℃≤Tc&lt;100℃ 误差小于±1℃,</w:t>
      </w:r>
    </w:p>
    <w:p>
      <w:pPr>
        <w:pStyle w:val="203"/>
        <w:numPr>
          <w:ilvl w:val="0"/>
          <w:numId w:val="13"/>
        </w:numPr>
      </w:pPr>
      <w:r>
        <w:rPr>
          <w:rFonts w:hint="eastAsia"/>
        </w:rPr>
        <w:t>≥100℃时，误差小于±2</w:t>
      </w:r>
    </w:p>
    <w:p>
      <w:pPr>
        <w:pStyle w:val="3"/>
        <w:tabs>
          <w:tab w:val="left" w:pos="0"/>
          <w:tab w:val="left" w:pos="624"/>
          <w:tab w:val="clear" w:pos="567"/>
        </w:tabs>
        <w:spacing w:before="24" w:after="24"/>
      </w:pPr>
      <w:bookmarkStart w:id="133" w:name="_Toc136164105"/>
      <w:r>
        <w:rPr>
          <w:rFonts w:hint="eastAsia"/>
        </w:rPr>
        <w:t>存储器</w:t>
      </w:r>
      <w:bookmarkEnd w:id="133"/>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6</w:t>
      </w:r>
      <w:r>
        <w:fldChar w:fldCharType="end"/>
      </w:r>
      <w:r>
        <w:rPr>
          <w:rFonts w:hint="eastAsia"/>
        </w:rPr>
        <w:t xml:space="preserve"> 存储器配置</w:t>
      </w:r>
    </w:p>
    <w:tbl>
      <w:tblPr>
        <w:tblStyle w:val="60"/>
        <w:tblW w:w="828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872"/>
        <w:gridCol w:w="1701"/>
        <w:gridCol w:w="3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4" w:type="dxa"/>
          </w:tcPr>
          <w:p>
            <w:pPr>
              <w:pStyle w:val="156"/>
              <w:keepNext w:val="0"/>
              <w:keepLines w:val="0"/>
              <w:widowControl/>
              <w:suppressLineNumbers w:val="0"/>
              <w:spacing w:beforeAutospacing="0" w:after="0" w:afterAutospacing="0"/>
              <w:ind w:left="0" w:right="0"/>
              <w:rPr>
                <w:rFonts w:hint="default"/>
              </w:rPr>
            </w:pPr>
            <w:r>
              <w:rPr>
                <w:rFonts w:hint="default"/>
              </w:rPr>
              <w:t>项目</w:t>
            </w:r>
          </w:p>
        </w:tc>
        <w:tc>
          <w:tcPr>
            <w:tcW w:w="1872" w:type="dxa"/>
          </w:tcPr>
          <w:p>
            <w:pPr>
              <w:pStyle w:val="156"/>
              <w:keepNext w:val="0"/>
              <w:keepLines w:val="0"/>
              <w:widowControl/>
              <w:suppressLineNumbers w:val="0"/>
              <w:spacing w:beforeAutospacing="0" w:after="0" w:afterAutospacing="0"/>
              <w:ind w:left="0" w:right="0"/>
              <w:rPr>
                <w:rFonts w:hint="default"/>
              </w:rPr>
            </w:pPr>
            <w:r>
              <w:rPr>
                <w:rFonts w:hint="default"/>
              </w:rPr>
              <w:t>接口方式</w:t>
            </w:r>
          </w:p>
        </w:tc>
        <w:tc>
          <w:tcPr>
            <w:tcW w:w="1701" w:type="dxa"/>
          </w:tcPr>
          <w:p>
            <w:pPr>
              <w:pStyle w:val="156"/>
              <w:keepNext w:val="0"/>
              <w:keepLines w:val="0"/>
              <w:widowControl/>
              <w:suppressLineNumbers w:val="0"/>
              <w:spacing w:beforeAutospacing="0" w:after="0" w:afterAutospacing="0"/>
              <w:ind w:left="0" w:right="0"/>
              <w:rPr>
                <w:rFonts w:hint="default"/>
              </w:rPr>
            </w:pPr>
            <w:r>
              <w:rPr>
                <w:rFonts w:hint="default"/>
              </w:rPr>
              <w:t>容量byte</w:t>
            </w:r>
          </w:p>
        </w:tc>
        <w:tc>
          <w:tcPr>
            <w:tcW w:w="3753" w:type="dxa"/>
          </w:tcPr>
          <w:p>
            <w:pPr>
              <w:pStyle w:val="156"/>
              <w:keepNext w:val="0"/>
              <w:keepLines w:val="0"/>
              <w:widowControl/>
              <w:suppressLineNumbers w:val="0"/>
              <w:spacing w:beforeAutospacing="0" w:after="0" w:afterAutospacing="0"/>
              <w:ind w:left="0" w:right="0"/>
              <w:rPr>
                <w:rFonts w:hint="default"/>
              </w:rPr>
            </w:pPr>
            <w:r>
              <w:rPr>
                <w:rFonts w:hint="default"/>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54" w:type="dxa"/>
          </w:tcPr>
          <w:p>
            <w:pPr>
              <w:pStyle w:val="156"/>
              <w:keepNext w:val="0"/>
              <w:keepLines w:val="0"/>
              <w:widowControl/>
              <w:suppressLineNumbers w:val="0"/>
              <w:spacing w:beforeAutospacing="0" w:after="0" w:afterAutospacing="0"/>
              <w:ind w:left="0" w:right="0"/>
              <w:rPr>
                <w:rFonts w:hint="default"/>
              </w:rPr>
            </w:pPr>
            <w:r>
              <w:rPr>
                <w:rFonts w:hint="default"/>
              </w:rPr>
              <w:t>RAM</w:t>
            </w:r>
          </w:p>
        </w:tc>
        <w:tc>
          <w:tcPr>
            <w:tcW w:w="1872" w:type="dxa"/>
          </w:tcPr>
          <w:p>
            <w:pPr>
              <w:pStyle w:val="156"/>
              <w:keepNext w:val="0"/>
              <w:keepLines w:val="0"/>
              <w:widowControl/>
              <w:suppressLineNumbers w:val="0"/>
              <w:spacing w:beforeAutospacing="0" w:after="0" w:afterAutospacing="0"/>
              <w:ind w:left="0" w:right="0"/>
              <w:rPr>
                <w:rFonts w:hint="default"/>
              </w:rPr>
            </w:pPr>
            <w:r>
              <w:rPr>
                <w:rFonts w:hint="default"/>
              </w:rPr>
              <w:t>MCU片</w:t>
            </w:r>
            <w:r>
              <w:rPr>
                <w:rFonts w:hint="eastAsia"/>
              </w:rPr>
              <w:t>外</w:t>
            </w:r>
          </w:p>
        </w:tc>
        <w:tc>
          <w:tcPr>
            <w:tcW w:w="1701" w:type="dxa"/>
          </w:tcPr>
          <w:p>
            <w:pPr>
              <w:pStyle w:val="156"/>
              <w:keepNext w:val="0"/>
              <w:keepLines w:val="0"/>
              <w:widowControl/>
              <w:suppressLineNumbers w:val="0"/>
              <w:spacing w:beforeAutospacing="0" w:after="0" w:afterAutospacing="0"/>
              <w:ind w:left="0" w:right="0"/>
              <w:rPr>
                <w:rFonts w:hint="default"/>
              </w:rPr>
            </w:pPr>
            <w:r>
              <w:rPr>
                <w:rFonts w:hint="eastAsia"/>
              </w:rPr>
              <w:t>1M</w:t>
            </w:r>
          </w:p>
        </w:tc>
        <w:tc>
          <w:tcPr>
            <w:tcW w:w="3753" w:type="dxa"/>
          </w:tcPr>
          <w:p>
            <w:pPr>
              <w:pStyle w:val="156"/>
              <w:keepNext w:val="0"/>
              <w:keepLines w:val="0"/>
              <w:widowControl/>
              <w:suppressLineNumbers w:val="0"/>
              <w:spacing w:beforeAutospacing="0" w:after="0" w:afterAutospacing="0"/>
              <w:ind w:left="0" w:right="0"/>
              <w:rPr>
                <w:rFonts w:hint="default"/>
              </w:rPr>
            </w:pPr>
            <w:r>
              <w:rPr>
                <w:rFonts w:hint="default"/>
              </w:rPr>
              <w:t>工作缓存，包括变量、元件、栈等</w:t>
            </w:r>
          </w:p>
        </w:tc>
      </w:tr>
    </w:tbl>
    <w:p>
      <w:pPr>
        <w:pStyle w:val="3"/>
        <w:tabs>
          <w:tab w:val="left" w:pos="0"/>
          <w:tab w:val="left" w:pos="624"/>
          <w:tab w:val="clear" w:pos="567"/>
        </w:tabs>
        <w:spacing w:before="24" w:after="24"/>
      </w:pPr>
      <w:bookmarkStart w:id="134" w:name="_Toc136164106"/>
      <w:r>
        <w:t>RS485</w:t>
      </w:r>
      <w:bookmarkEnd w:id="134"/>
    </w:p>
    <w:p>
      <w:pPr>
        <w:pStyle w:val="193"/>
        <w:numPr>
          <w:ilvl w:val="0"/>
          <w:numId w:val="14"/>
        </w:numPr>
      </w:pPr>
      <w:r>
        <w:t>RS485符合国际行业规定，具备A+、B+及GND基本通信功能。</w:t>
      </w:r>
    </w:p>
    <w:p>
      <w:pPr>
        <w:pStyle w:val="193"/>
        <w:numPr>
          <w:ilvl w:val="0"/>
          <w:numId w:val="14"/>
        </w:numPr>
      </w:pPr>
      <w:r>
        <w:t>隔离电压500V/AC</w:t>
      </w:r>
      <w:r>
        <w:rPr>
          <w:rFonts w:hint="eastAsia"/>
        </w:rPr>
        <w:t>。</w:t>
      </w:r>
    </w:p>
    <w:p>
      <w:pPr>
        <w:pStyle w:val="193"/>
        <w:numPr>
          <w:ilvl w:val="0"/>
          <w:numId w:val="14"/>
        </w:numPr>
      </w:pPr>
      <w:r>
        <w:t>通信波特率</w:t>
      </w:r>
      <w:r>
        <w:rPr>
          <w:rFonts w:hint="eastAsia"/>
        </w:rPr>
        <w:t>：最大能支持</w:t>
      </w:r>
      <w:r>
        <w:t>115200bps</w:t>
      </w:r>
      <w:r>
        <w:rPr>
          <w:rFonts w:hint="eastAsia"/>
        </w:rPr>
        <w:t>。</w:t>
      </w:r>
    </w:p>
    <w:p>
      <w:pPr>
        <w:pStyle w:val="193"/>
        <w:numPr>
          <w:ilvl w:val="0"/>
          <w:numId w:val="14"/>
        </w:numPr>
      </w:pPr>
      <w:r>
        <w:rPr>
          <w:rFonts w:hint="eastAsia"/>
        </w:rPr>
        <w:t>终端电阻120Ω可配置</w:t>
      </w:r>
    </w:p>
    <w:p>
      <w:pPr>
        <w:pStyle w:val="3"/>
        <w:tabs>
          <w:tab w:val="left" w:pos="0"/>
          <w:tab w:val="left" w:pos="624"/>
          <w:tab w:val="clear" w:pos="567"/>
        </w:tabs>
        <w:spacing w:before="24" w:after="24"/>
      </w:pPr>
      <w:bookmarkStart w:id="135" w:name="_Toc136164107"/>
      <w:r>
        <w:rPr>
          <w:rFonts w:hint="eastAsia"/>
        </w:rPr>
        <w:t>CAN接口</w:t>
      </w:r>
      <w:bookmarkEnd w:id="135"/>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CAN通信与主板进行隔离，具备屏蔽接口，隔离电压500V/AC。</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终端电阻可配置120欧姆。</w:t>
      </w:r>
    </w:p>
    <w:p>
      <w:pPr>
        <w:spacing w:line="360" w:lineRule="auto"/>
        <w:ind w:left="92" w:leftChars="44" w:right="232" w:firstLine="480"/>
        <w:jc w:val="left"/>
        <w:rPr>
          <w:rFonts w:asciiTheme="minorEastAsia" w:hAnsiTheme="minorEastAsia" w:eastAsiaTheme="minorEastAsia"/>
        </w:rPr>
      </w:pPr>
      <w:r>
        <w:rPr>
          <w:rFonts w:hint="eastAsia" w:asciiTheme="minorEastAsia" w:hAnsiTheme="minorEastAsia" w:eastAsiaTheme="minorEastAsia"/>
        </w:rPr>
        <w:t>波特率最大可支持1Mbps。</w:t>
      </w:r>
    </w:p>
    <w:p>
      <w:pPr>
        <w:pStyle w:val="3"/>
        <w:tabs>
          <w:tab w:val="left" w:pos="0"/>
          <w:tab w:val="left" w:pos="624"/>
          <w:tab w:val="clear" w:pos="567"/>
        </w:tabs>
        <w:spacing w:before="24" w:after="24"/>
      </w:pPr>
      <w:bookmarkStart w:id="136" w:name="_Toc136164108"/>
      <w:r>
        <w:rPr>
          <w:rFonts w:hint="eastAsia"/>
        </w:rPr>
        <w:t>电子膨胀阀接口</w:t>
      </w:r>
      <w:bookmarkEnd w:id="136"/>
    </w:p>
    <w:p>
      <w:pPr>
        <w:ind w:firstLine="480"/>
      </w:pPr>
      <w:r>
        <w:rPr>
          <w:rFonts w:hint="eastAsia"/>
        </w:rPr>
        <w:t>提供接口实现对电子膨胀阀开关的控制，可以实现指定角度的开关及状态监测。</w:t>
      </w:r>
    </w:p>
    <w:p>
      <w:pPr>
        <w:pStyle w:val="2"/>
        <w:tabs>
          <w:tab w:val="left" w:pos="397"/>
        </w:tabs>
        <w:spacing w:before="240" w:after="120"/>
      </w:pPr>
      <w:bookmarkStart w:id="137" w:name="_Toc136164109"/>
      <w:r>
        <w:rPr>
          <w:rFonts w:hint="eastAsia"/>
        </w:rPr>
        <w:t>KIO软件参数</w:t>
      </w:r>
      <w:bookmarkEnd w:id="137"/>
    </w:p>
    <w:p>
      <w:pPr>
        <w:ind w:firstLine="480"/>
      </w:pPr>
      <w:r>
        <w:rPr>
          <w:rFonts w:hint="eastAsia"/>
        </w:rPr>
        <w:t>供应商需单独提供底层软件，功能描述：支持IAP功能，通信故障时，关闭所有DO。</w:t>
      </w:r>
    </w:p>
    <w:p>
      <w:pPr>
        <w:ind w:firstLine="480"/>
      </w:pPr>
      <w:r>
        <w:rPr>
          <w:rFonts w:hint="eastAsia"/>
        </w:rPr>
        <w:t>KIO的CPU软件由供应商提供，供应商在更新软件时应提供相关的软件库文件，并标明版本及相关标识号，版本号可以通过通讯接口读出，可通过CAN和RS485通信端口更新程序，更新程序过程应用保护机制，异常断电或中断更新后可再次操作，</w:t>
      </w:r>
    </w:p>
    <w:p>
      <w:pPr>
        <w:ind w:firstLine="480"/>
      </w:pPr>
      <w:r>
        <w:rPr>
          <w:rFonts w:hint="eastAsia"/>
        </w:rPr>
        <w:t>KIO的RS485通讯提供两个编址引脚：ADD-SS和ADD-IN，两个管脚短接地址为：0x83，两个管脚断开的地址为：0x03.</w:t>
      </w:r>
    </w:p>
    <w:p>
      <w:pPr>
        <w:ind w:firstLine="480"/>
      </w:pPr>
      <w:r>
        <w:rPr>
          <w:rFonts w:hint="eastAsia"/>
          <w:color w:val="FF0000"/>
        </w:rPr>
        <w:t>KIO的CAN通讯也可复用两个编址引脚：ADD-SS和ADD-IN，两个管脚短接地址为：0x221D，两个管脚断开的地址为：0x220D</w:t>
      </w:r>
    </w:p>
    <w:p>
      <w:pPr>
        <w:ind w:firstLine="480"/>
        <w:rPr>
          <w:color w:val="FF0000"/>
        </w:rPr>
      </w:pPr>
    </w:p>
    <w:p>
      <w:pPr>
        <w:pStyle w:val="4"/>
        <w:tabs>
          <w:tab w:val="left" w:pos="851"/>
        </w:tabs>
        <w:spacing w:before="24" w:after="24"/>
      </w:pPr>
      <w:r>
        <w:rPr>
          <w:rFonts w:hint="eastAsia"/>
        </w:rPr>
        <w:t>基本要求</w:t>
      </w:r>
    </w:p>
    <w:p>
      <w:pPr>
        <w:numPr>
          <w:ilvl w:val="0"/>
          <w:numId w:val="17"/>
        </w:numPr>
      </w:pPr>
      <w:r>
        <w:rPr>
          <w:rFonts w:hint="eastAsia"/>
        </w:rPr>
        <w:t>软件版本默认从1.00开始，同一型号部件不允许出现版本一样但功能不一样的软件，功能变更或者修复软件BUG需要更新软件时，软件版本需升级；</w:t>
      </w:r>
    </w:p>
    <w:p>
      <w:pPr>
        <w:numPr>
          <w:ilvl w:val="0"/>
          <w:numId w:val="17"/>
        </w:numPr>
      </w:pPr>
      <w:r>
        <w:rPr>
          <w:rFonts w:hint="eastAsia"/>
        </w:rPr>
        <w:t>供方部件出厂时，至少支持IAP方式更新软件，以备后续软件升级使用；</w:t>
      </w:r>
    </w:p>
    <w:p>
      <w:pPr>
        <w:numPr>
          <w:ilvl w:val="0"/>
          <w:numId w:val="17"/>
        </w:numPr>
      </w:pPr>
      <w:r>
        <w:rPr>
          <w:rFonts w:hint="eastAsia"/>
        </w:rPr>
        <w:t>软件版本可以通过空调控制器的通信接口读取，或通过空调控制器上位机软件读取；</w:t>
      </w:r>
    </w:p>
    <w:p>
      <w:pPr>
        <w:numPr>
          <w:ilvl w:val="0"/>
          <w:numId w:val="17"/>
        </w:numPr>
      </w:pPr>
      <w:r>
        <w:rPr>
          <w:rFonts w:hint="eastAsia"/>
        </w:rPr>
        <w:t>每次升级软件，软件版本要相应的升级。特殊情况下（国祥特殊要求时），可商讨确定通过其他方式标识区别；</w:t>
      </w:r>
    </w:p>
    <w:p>
      <w:pPr>
        <w:numPr>
          <w:ilvl w:val="0"/>
          <w:numId w:val="17"/>
        </w:numPr>
      </w:pPr>
      <w:r>
        <w:rPr>
          <w:rFonts w:hint="eastAsia"/>
        </w:rPr>
        <w:t>软件通过IAP方式（供方提供的维护软件或由国祥制定的统一方式）更新。更新时，部件软件需要对接收到的程序文件进行完整性、正确性校验，不允许出现更新失败后部件功能丧失的情况。</w:t>
      </w:r>
    </w:p>
    <w:p>
      <w:pPr>
        <w:numPr>
          <w:ilvl w:val="0"/>
          <w:numId w:val="17"/>
        </w:numPr>
      </w:pPr>
      <w:r>
        <w:rPr>
          <w:rFonts w:hint="eastAsia"/>
        </w:rPr>
        <w:t>软件更新不应限制版本号、项目号，只要部件型号一致的软件均允许更新，型号不一样的软件禁止更新；</w:t>
      </w:r>
    </w:p>
    <w:p>
      <w:pPr>
        <w:numPr>
          <w:ilvl w:val="0"/>
          <w:numId w:val="17"/>
        </w:numPr>
      </w:pPr>
      <w:r>
        <w:rPr>
          <w:rFonts w:hint="eastAsia"/>
        </w:rPr>
        <w:t>软件每次发布时，需提供正式的软件功能说明书、通信协议、软件测试报告（需详细列述测试项点）、软件发布说明（包含变更项点）、软件更新操作说明（以上所有文件仅首次或文档更新时提供）。</w:t>
      </w:r>
    </w:p>
    <w:p>
      <w:pPr>
        <w:pStyle w:val="4"/>
        <w:tabs>
          <w:tab w:val="left" w:pos="851"/>
        </w:tabs>
        <w:spacing w:before="24" w:after="24"/>
      </w:pPr>
      <w:r>
        <w:rPr>
          <w:rFonts w:hint="eastAsia"/>
        </w:rPr>
        <w:t>管理办法</w:t>
      </w:r>
    </w:p>
    <w:p>
      <w:pPr>
        <w:ind w:firstLine="480"/>
      </w:pPr>
      <w:r>
        <w:rPr>
          <w:rFonts w:hint="eastAsia"/>
        </w:rPr>
        <w:t>部件首次使用时，供方与国祥工程师联调至基本功能正常，满足项目要求后，部件初版软件定版为1.00版并首次发布。</w:t>
      </w:r>
    </w:p>
    <w:p>
      <w:pPr>
        <w:numPr>
          <w:ilvl w:val="0"/>
          <w:numId w:val="18"/>
        </w:numPr>
      </w:pPr>
      <w:r>
        <w:rPr>
          <w:rFonts w:hint="eastAsia"/>
        </w:rPr>
        <w:t>因</w:t>
      </w:r>
      <w:r>
        <w:rPr>
          <w:rFonts w:hint="eastAsia"/>
          <w:szCs w:val="22"/>
        </w:rPr>
        <w:t>供方技术升级、软件缺陷提出的变更，需事先邮件与国祥技术确认，之后发起变更。</w:t>
      </w:r>
    </w:p>
    <w:p>
      <w:pPr>
        <w:pStyle w:val="2"/>
        <w:tabs>
          <w:tab w:val="left" w:pos="397"/>
        </w:tabs>
        <w:spacing w:before="240" w:after="120"/>
      </w:pPr>
      <w:bookmarkStart w:id="138" w:name="_Toc136164110"/>
      <w:r>
        <w:t>试验要求</w:t>
      </w:r>
      <w:bookmarkEnd w:id="138"/>
    </w:p>
    <w:p>
      <w:pPr>
        <w:ind w:firstLine="480"/>
      </w:pPr>
      <w:r>
        <w:t>下述试验由供应商负责，供应商需向国祥提供进行下述试验的具体时间，以方便国祥技术人员一起参加上述试验，并且供应商需向国祥提供相关试验报告。</w:t>
      </w:r>
    </w:p>
    <w:p>
      <w:pPr>
        <w:pStyle w:val="3"/>
        <w:tabs>
          <w:tab w:val="left" w:pos="0"/>
          <w:tab w:val="left" w:pos="624"/>
          <w:tab w:val="clear" w:pos="567"/>
        </w:tabs>
        <w:spacing w:before="24" w:after="24"/>
      </w:pPr>
      <w:bookmarkStart w:id="139" w:name="_Toc136164111"/>
      <w:r>
        <w:t>供应商应编制试验大纲，由国祥批准。</w:t>
      </w:r>
      <w:bookmarkEnd w:id="139"/>
    </w:p>
    <w:p>
      <w:pPr>
        <w:ind w:firstLine="480"/>
      </w:pPr>
      <w:r>
        <w:t>例行试验至少要包括以下内容：</w:t>
      </w:r>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7</w:t>
      </w:r>
      <w:r>
        <w:fldChar w:fldCharType="end"/>
      </w:r>
      <w:r>
        <w:rPr>
          <w:rFonts w:hint="eastAsia"/>
        </w:rPr>
        <w:t xml:space="preserve"> 试验清单</w:t>
      </w:r>
    </w:p>
    <w:tbl>
      <w:tblPr>
        <w:tblStyle w:val="60"/>
        <w:tblW w:w="89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687"/>
        <w:gridCol w:w="2263"/>
        <w:gridCol w:w="4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序号</w:t>
            </w:r>
          </w:p>
        </w:tc>
        <w:tc>
          <w:tcPr>
            <w:tcW w:w="168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试验</w:t>
            </w:r>
          </w:p>
        </w:tc>
        <w:tc>
          <w:tcPr>
            <w:tcW w:w="2263"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试验工况</w:t>
            </w:r>
          </w:p>
        </w:tc>
        <w:tc>
          <w:tcPr>
            <w:tcW w:w="42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待检查项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1</w:t>
            </w:r>
          </w:p>
        </w:tc>
        <w:tc>
          <w:tcPr>
            <w:tcW w:w="168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目检</w:t>
            </w:r>
          </w:p>
        </w:tc>
        <w:tc>
          <w:tcPr>
            <w:tcW w:w="2263"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rPr>
              <w:t>EN50155，13.4.1部分</w:t>
            </w:r>
          </w:p>
        </w:tc>
        <w:tc>
          <w:tcPr>
            <w:tcW w:w="42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2</w:t>
            </w:r>
          </w:p>
        </w:tc>
        <w:tc>
          <w:tcPr>
            <w:tcW w:w="168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性能试验</w:t>
            </w:r>
          </w:p>
        </w:tc>
        <w:tc>
          <w:tcPr>
            <w:tcW w:w="2263"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EN50155，13.4.2部分</w:t>
            </w:r>
          </w:p>
        </w:tc>
        <w:tc>
          <w:tcPr>
            <w:tcW w:w="42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检查所有输入和输出、通讯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3</w:t>
            </w:r>
          </w:p>
        </w:tc>
        <w:tc>
          <w:tcPr>
            <w:tcW w:w="1687"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绝缘试验</w:t>
            </w:r>
          </w:p>
        </w:tc>
        <w:tc>
          <w:tcPr>
            <w:tcW w:w="2263"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EN50155，13.4.9部分</w:t>
            </w:r>
          </w:p>
        </w:tc>
        <w:tc>
          <w:tcPr>
            <w:tcW w:w="4201" w:type="dxa"/>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绝缘</w:t>
            </w:r>
          </w:p>
        </w:tc>
      </w:tr>
    </w:tbl>
    <w:p>
      <w:pPr>
        <w:ind w:firstLine="480"/>
      </w:pPr>
      <w:r>
        <w:t>型式试验至少包括以下内容：</w:t>
      </w:r>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8</w:t>
      </w:r>
      <w:r>
        <w:fldChar w:fldCharType="end"/>
      </w:r>
      <w:r>
        <w:rPr>
          <w:rFonts w:hint="eastAsia"/>
        </w:rPr>
        <w:t xml:space="preserve"> 试验清单</w:t>
      </w:r>
    </w:p>
    <w:tbl>
      <w:tblPr>
        <w:tblStyle w:val="60"/>
        <w:tblW w:w="89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701"/>
        <w:gridCol w:w="2268"/>
        <w:gridCol w:w="4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序号</w:t>
            </w:r>
          </w:p>
        </w:tc>
        <w:tc>
          <w:tcPr>
            <w:tcW w:w="1701"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试验</w:t>
            </w:r>
          </w:p>
        </w:tc>
        <w:tc>
          <w:tcPr>
            <w:tcW w:w="2268"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执行标准</w:t>
            </w:r>
          </w:p>
        </w:tc>
        <w:tc>
          <w:tcPr>
            <w:tcW w:w="4212" w:type="dxa"/>
          </w:tcPr>
          <w:p>
            <w:pPr>
              <w:pStyle w:val="156"/>
              <w:keepNext w:val="0"/>
              <w:keepLines w:val="0"/>
              <w:widowControl/>
              <w:suppressLineNumbers w:val="0"/>
              <w:spacing w:beforeAutospacing="0" w:after="0" w:afterAutospacing="0"/>
              <w:ind w:left="0" w:right="0"/>
              <w:rPr>
                <w:rFonts w:hint="default"/>
                <w:szCs w:val="21"/>
                <w:lang w:val="en-GB"/>
              </w:rPr>
            </w:pPr>
            <w:r>
              <w:rPr>
                <w:rFonts w:hint="eastAsia"/>
                <w:szCs w:val="21"/>
                <w:lang w:val="en-GB"/>
              </w:rPr>
              <w:t>待检查项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目检</w:t>
            </w:r>
          </w:p>
        </w:tc>
        <w:tc>
          <w:tcPr>
            <w:tcW w:w="2268"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rPr>
              <w:t>EN50155，13.4.1部分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外观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2</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性能试验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EN50155，13.4.2部分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检查所有输入和输出、通讯、时钟、和电源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3</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干热试验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EN50155，13.4.5部分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r>
              <w:rPr>
                <w:rFonts w:hint="eastAsia"/>
                <w:lang w:val="en-GB"/>
              </w:rPr>
              <w:t>, 按照循环</w:t>
            </w:r>
            <w:r>
              <w:rPr>
                <w:rFonts w:hint="default"/>
                <w:lang w:val="en-GB"/>
              </w:rPr>
              <w:t>B</w:t>
            </w:r>
            <w:r>
              <w:rPr>
                <w:rFonts w:hint="eastAsia"/>
                <w:lang w:val="en-GB"/>
              </w:rPr>
              <w:t>试验条件执行。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4</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湿热试验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EN50155，13.4.7部分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5</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绝缘试验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EN50155，13.4.9部分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绝缘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6</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低温存储试验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w:t>
            </w:r>
            <w:r>
              <w:rPr>
                <w:rFonts w:hint="eastAsia"/>
              </w:rPr>
              <w:t>，1</w:t>
            </w:r>
            <w:r>
              <w:rPr>
                <w:rFonts w:hint="default"/>
              </w:rPr>
              <w:t>3.4.6部分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7</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低温启动试验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EN50155</w:t>
            </w:r>
            <w:r>
              <w:rPr>
                <w:rFonts w:hint="eastAsia"/>
              </w:rPr>
              <w:t>，1</w:t>
            </w:r>
            <w:r>
              <w:rPr>
                <w:rFonts w:hint="default"/>
              </w:rPr>
              <w:t>3.4.4部分</w:t>
            </w:r>
          </w:p>
        </w:tc>
        <w:tc>
          <w:tcPr>
            <w:tcW w:w="42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8</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振动试验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default"/>
              </w:rPr>
              <w:t>IEC61373</w:t>
            </w:r>
          </w:p>
        </w:tc>
        <w:tc>
          <w:tcPr>
            <w:tcW w:w="4212" w:type="dxa"/>
            <w:vAlign w:val="center"/>
          </w:tcPr>
          <w:p>
            <w:pPr>
              <w:pStyle w:val="156"/>
              <w:keepNext w:val="0"/>
              <w:keepLines w:val="0"/>
              <w:widowControl/>
              <w:suppressLineNumbers w:val="0"/>
              <w:spacing w:beforeAutospacing="0" w:after="0" w:afterAutospacing="0"/>
              <w:ind w:left="0" w:right="0" w:firstLine="420" w:firstLineChars="200"/>
              <w:jc w:val="left"/>
              <w:rPr>
                <w:rFonts w:hint="default"/>
                <w:lang w:val="en-GB"/>
              </w:rPr>
            </w:pPr>
            <w:r>
              <w:rPr>
                <w:rFonts w:hint="eastAsia"/>
                <w:lang w:val="en-GB"/>
              </w:rPr>
              <w:t>满足</w:t>
            </w:r>
            <w:r>
              <w:rPr>
                <w:rFonts w:hint="default"/>
                <w:lang w:val="en-GB"/>
              </w:rPr>
              <w:t>EN50155</w:t>
            </w:r>
            <w:r>
              <w:rPr>
                <w:rFonts w:hint="eastAsia"/>
                <w:lang w:val="en-GB"/>
              </w:rPr>
              <w:t>：</w:t>
            </w:r>
            <w:r>
              <w:rPr>
                <w:rFonts w:hint="default"/>
                <w:lang w:val="en-GB"/>
              </w:rPr>
              <w:t>13.4.9</w:t>
            </w:r>
            <w:r>
              <w:rPr>
                <w:rFonts w:hint="eastAsia"/>
                <w:lang w:val="en-GB"/>
              </w:rPr>
              <w:t>节（</w:t>
            </w:r>
            <w:r>
              <w:rPr>
                <w:rFonts w:hint="default"/>
                <w:lang w:val="en-GB"/>
              </w:rPr>
              <w:t>EN61373</w:t>
            </w:r>
            <w:r>
              <w:rPr>
                <w:rFonts w:hint="eastAsia"/>
                <w:lang w:val="en-GB"/>
              </w:rPr>
              <w:t>中</w:t>
            </w:r>
            <w:r>
              <w:rPr>
                <w:rFonts w:hint="default"/>
                <w:lang w:val="en-GB"/>
              </w:rPr>
              <w:t>1</w:t>
            </w:r>
            <w:r>
              <w:rPr>
                <w:rFonts w:hint="eastAsia"/>
                <w:lang w:val="en-GB"/>
              </w:rPr>
              <w:t>类</w:t>
            </w:r>
            <w:r>
              <w:rPr>
                <w:rFonts w:hint="default"/>
                <w:lang w:val="en-GB"/>
              </w:rPr>
              <w:t>B</w:t>
            </w:r>
            <w:r>
              <w:rPr>
                <w:rFonts w:hint="eastAsia"/>
                <w:lang w:val="en-GB"/>
              </w:rPr>
              <w:t>级）要求，试验需在第三方试验室进行并出具报告，且试验室试验室需具有</w:t>
            </w:r>
            <w:r>
              <w:rPr>
                <w:rFonts w:hint="default"/>
                <w:lang w:val="en-GB"/>
              </w:rPr>
              <w:t>CNAS</w:t>
            </w:r>
            <w:r>
              <w:rPr>
                <w:rFonts w:hint="eastAsia"/>
                <w:lang w:val="en-GB"/>
              </w:rPr>
              <w:t>及相应标准资格认证。</w:t>
            </w:r>
          </w:p>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1模拟长寿命试验</w:t>
            </w:r>
          </w:p>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2冲击试验</w:t>
            </w:r>
          </w:p>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3功能性随机振动试验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9</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EMC试验</w:t>
            </w:r>
          </w:p>
        </w:tc>
        <w:tc>
          <w:tcPr>
            <w:tcW w:w="2268" w:type="dxa"/>
            <w:vAlign w:val="center"/>
          </w:tcPr>
          <w:p>
            <w:pPr>
              <w:pStyle w:val="156"/>
              <w:keepNext w:val="0"/>
              <w:keepLines w:val="0"/>
              <w:widowControl/>
              <w:suppressLineNumbers w:val="0"/>
              <w:spacing w:beforeAutospacing="0" w:after="0" w:afterAutospacing="0"/>
              <w:ind w:left="0" w:right="0"/>
              <w:jc w:val="left"/>
              <w:rPr>
                <w:rFonts w:hint="default"/>
              </w:rPr>
            </w:pPr>
            <w:r>
              <w:rPr>
                <w:rFonts w:hint="default"/>
              </w:rPr>
              <w:t>EN 50121-3-2</w:t>
            </w:r>
          </w:p>
          <w:p>
            <w:pPr>
              <w:pStyle w:val="156"/>
              <w:keepNext w:val="0"/>
              <w:keepLines w:val="0"/>
              <w:widowControl/>
              <w:suppressLineNumbers w:val="0"/>
              <w:spacing w:beforeAutospacing="0" w:after="0" w:afterAutospacing="0"/>
              <w:ind w:left="0" w:right="0"/>
              <w:jc w:val="left"/>
              <w:rPr>
                <w:rFonts w:hint="default"/>
              </w:rPr>
            </w:pPr>
            <w:r>
              <w:rPr>
                <w:rFonts w:hint="eastAsia"/>
              </w:rPr>
              <w:t>EN</w:t>
            </w:r>
            <w:r>
              <w:rPr>
                <w:rFonts w:hint="default"/>
              </w:rPr>
              <w:t xml:space="preserve"> 50155</w:t>
            </w:r>
          </w:p>
          <w:p>
            <w:pPr>
              <w:pStyle w:val="156"/>
              <w:keepNext w:val="0"/>
              <w:keepLines w:val="0"/>
              <w:widowControl/>
              <w:suppressLineNumbers w:val="0"/>
              <w:spacing w:beforeAutospacing="0" w:after="0" w:afterAutospacing="0"/>
              <w:ind w:left="0" w:right="0"/>
              <w:jc w:val="left"/>
              <w:rPr>
                <w:rFonts w:hint="default"/>
              </w:rPr>
            </w:pPr>
            <w:r>
              <w:rPr>
                <w:rFonts w:hint="eastAsia"/>
                <w:lang w:val="en-GB"/>
              </w:rPr>
              <w:t>《</w:t>
            </w:r>
            <w:r>
              <w:rPr>
                <w:rFonts w:hint="default"/>
                <w:lang w:val="en-GB"/>
              </w:rPr>
              <w:t xml:space="preserve">BZDT1111-CG-G100-001 </w:t>
            </w:r>
            <w:r>
              <w:rPr>
                <w:rFonts w:hint="eastAsia"/>
                <w:lang w:val="en-GB"/>
              </w:rPr>
              <w:t>系列化中国标准地铁列车研制及试验项目电磁兼容通用技术条件》</w:t>
            </w:r>
          </w:p>
        </w:tc>
        <w:tc>
          <w:tcPr>
            <w:tcW w:w="4212" w:type="dxa"/>
            <w:vAlign w:val="center"/>
          </w:tcPr>
          <w:p>
            <w:pPr>
              <w:pStyle w:val="156"/>
              <w:keepNext w:val="0"/>
              <w:keepLines w:val="0"/>
              <w:widowControl/>
              <w:suppressLineNumbers w:val="0"/>
              <w:spacing w:beforeAutospacing="0" w:after="0" w:afterAutospacing="0"/>
              <w:ind w:left="0" w:right="0" w:firstLine="480"/>
              <w:jc w:val="left"/>
              <w:rPr>
                <w:rFonts w:hint="default"/>
                <w:lang w:val="en-GB"/>
              </w:rPr>
            </w:pPr>
            <w:r>
              <w:rPr>
                <w:rFonts w:hint="eastAsia"/>
                <w:lang w:val="en-GB"/>
              </w:rPr>
              <w:t>满足《</w:t>
            </w:r>
            <w:r>
              <w:rPr>
                <w:rFonts w:hint="default"/>
                <w:lang w:val="en-GB"/>
              </w:rPr>
              <w:t xml:space="preserve">BZDT1111-CG-G100-001 </w:t>
            </w:r>
            <w:r>
              <w:rPr>
                <w:rFonts w:hint="eastAsia"/>
                <w:lang w:val="en-GB"/>
              </w:rPr>
              <w:t>系列化中国标准地铁列车研制及试验项目电磁兼容通用技术条件》要求，试验需在第三方试验室进行并出具报告，且试验室试验室需具有CNAS及相应标准资格认证。</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1传导</w:t>
            </w:r>
            <w:r>
              <w:rPr>
                <w:rFonts w:hint="eastAsia"/>
                <w:lang w:val="en-GB"/>
              </w:rPr>
              <w:t>发射</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2辐射</w:t>
            </w:r>
            <w:r>
              <w:rPr>
                <w:rFonts w:hint="eastAsia"/>
                <w:lang w:val="en-GB"/>
              </w:rPr>
              <w:t>电场发射</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3</w:t>
            </w:r>
            <w:r>
              <w:rPr>
                <w:rFonts w:hint="eastAsia"/>
                <w:lang w:val="en-GB"/>
              </w:rPr>
              <w:t>射频电磁场辐射</w:t>
            </w:r>
            <w:r>
              <w:rPr>
                <w:rFonts w:hint="default"/>
                <w:lang w:val="en-GB"/>
              </w:rPr>
              <w:t>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4</w:t>
            </w:r>
            <w:r>
              <w:rPr>
                <w:rFonts w:hint="eastAsia"/>
                <w:lang w:val="en-GB"/>
              </w:rPr>
              <w:t>射频场感应的传导骚扰抗扰度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5</w:t>
            </w:r>
            <w:r>
              <w:rPr>
                <w:rFonts w:hint="eastAsia"/>
                <w:lang w:val="en-GB"/>
              </w:rPr>
              <w:t>电快速瞬变脉冲群抗扰度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6</w:t>
            </w:r>
            <w:r>
              <w:rPr>
                <w:rFonts w:hint="eastAsia"/>
                <w:lang w:val="en-GB"/>
              </w:rPr>
              <w:t>浪涌抗扰度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7静电放电抗扰度</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8</w:t>
            </w:r>
            <w:r>
              <w:rPr>
                <w:rFonts w:hint="eastAsia"/>
                <w:lang w:val="en-GB"/>
              </w:rPr>
              <w:t>工频磁场抗扰度</w:t>
            </w:r>
            <w:r>
              <w:rPr>
                <w:rFonts w:hint="default"/>
                <w:lang w:val="en-GB"/>
              </w:rPr>
              <w:t>试验</w:t>
            </w:r>
          </w:p>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9</w:t>
            </w:r>
            <w:r>
              <w:rPr>
                <w:rFonts w:hint="eastAsia"/>
                <w:lang w:val="en-GB"/>
              </w:rPr>
              <w:t>电压暂降、短时中断和电压变化抗扰度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10</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长周期</w:t>
            </w:r>
            <w:r>
              <w:rPr>
                <w:rFonts w:hint="default"/>
                <w:lang w:val="en-GB"/>
              </w:rPr>
              <w:t>通断电试验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w:t>
            </w:r>
          </w:p>
        </w:tc>
        <w:tc>
          <w:tcPr>
            <w:tcW w:w="4212" w:type="dxa"/>
            <w:vAlign w:val="center"/>
          </w:tcPr>
          <w:p>
            <w:pPr>
              <w:pStyle w:val="156"/>
              <w:keepNext w:val="0"/>
              <w:keepLines w:val="0"/>
              <w:widowControl/>
              <w:suppressLineNumbers w:val="0"/>
              <w:spacing w:beforeAutospacing="0" w:after="0" w:afterAutospacing="0"/>
              <w:ind w:left="0" w:right="0"/>
              <w:jc w:val="left"/>
              <w:rPr>
                <w:rFonts w:hint="default"/>
                <w:lang w:val="en-GB"/>
              </w:rPr>
            </w:pPr>
            <w:r>
              <w:rPr>
                <w:rFonts w:hint="eastAsia"/>
                <w:lang w:val="en-GB"/>
              </w:rPr>
              <w:t>12个小时</w:t>
            </w:r>
            <w:r>
              <w:rPr>
                <w:rFonts w:hint="default"/>
                <w:lang w:val="en-GB"/>
              </w:rPr>
              <w:t>连续通断电，</w:t>
            </w:r>
            <w:r>
              <w:rPr>
                <w:rFonts w:hint="eastAsia"/>
                <w:lang w:val="en-GB"/>
              </w:rPr>
              <w:t>每30</w:t>
            </w:r>
            <w:r>
              <w:rPr>
                <w:rFonts w:hint="default"/>
                <w:lang w:val="en-GB"/>
              </w:rPr>
              <w:t>S通断电</w:t>
            </w:r>
            <w:r>
              <w:rPr>
                <w:rFonts w:hint="eastAsia"/>
                <w:lang w:val="en-GB"/>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2"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default"/>
                <w:lang w:val="en-GB"/>
              </w:rPr>
              <w:t>11</w:t>
            </w:r>
          </w:p>
        </w:tc>
        <w:tc>
          <w:tcPr>
            <w:tcW w:w="1701" w:type="dxa"/>
            <w:vAlign w:val="center"/>
          </w:tcPr>
          <w:p>
            <w:pPr>
              <w:pStyle w:val="156"/>
              <w:keepNext w:val="0"/>
              <w:keepLines w:val="0"/>
              <w:widowControl/>
              <w:suppressLineNumbers w:val="0"/>
              <w:spacing w:beforeAutospacing="0" w:after="0" w:afterAutospacing="0"/>
              <w:ind w:left="0" w:right="0"/>
              <w:rPr>
                <w:rFonts w:hint="default"/>
                <w:lang w:val="en-GB"/>
              </w:rPr>
            </w:pPr>
            <w:r>
              <w:rPr>
                <w:rFonts w:hint="eastAsia"/>
                <w:lang w:val="en-GB"/>
              </w:rPr>
              <w:t>盐雾试验</w:t>
            </w:r>
          </w:p>
        </w:tc>
        <w:tc>
          <w:tcPr>
            <w:tcW w:w="2268" w:type="dxa"/>
            <w:vAlign w:val="center"/>
          </w:tcPr>
          <w:p>
            <w:pPr>
              <w:pStyle w:val="156"/>
              <w:keepNext w:val="0"/>
              <w:keepLines w:val="0"/>
              <w:widowControl/>
              <w:suppressLineNumbers w:val="0"/>
              <w:spacing w:beforeAutospacing="0" w:after="0" w:afterAutospacing="0"/>
              <w:ind w:left="0" w:right="0"/>
              <w:rPr>
                <w:rFonts w:hint="default"/>
              </w:rPr>
            </w:pPr>
            <w:r>
              <w:rPr>
                <w:rFonts w:hint="eastAsia"/>
              </w:rPr>
              <w:t>IEC60571</w:t>
            </w:r>
          </w:p>
        </w:tc>
        <w:tc>
          <w:tcPr>
            <w:tcW w:w="4212" w:type="dxa"/>
            <w:vAlign w:val="center"/>
          </w:tcPr>
          <w:p>
            <w:pPr>
              <w:pStyle w:val="156"/>
              <w:keepNext w:val="0"/>
              <w:keepLines w:val="0"/>
              <w:widowControl/>
              <w:suppressLineNumbers w:val="0"/>
              <w:spacing w:beforeAutospacing="0" w:after="0" w:afterAutospacing="0"/>
              <w:ind w:left="0" w:right="0"/>
              <w:jc w:val="left"/>
              <w:rPr>
                <w:rFonts w:hint="default"/>
                <w:lang w:val="en-GB"/>
              </w:rPr>
            </w:pPr>
            <w:r>
              <w:rPr>
                <w:rFonts w:hint="default"/>
                <w:lang w:val="en-GB"/>
              </w:rPr>
              <w:t>PCB</w:t>
            </w:r>
            <w:r>
              <w:rPr>
                <w:rFonts w:hint="eastAsia"/>
                <w:lang w:val="en-GB"/>
              </w:rPr>
              <w:t>板满足</w:t>
            </w:r>
            <w:r>
              <w:rPr>
                <w:rFonts w:hint="default"/>
                <w:lang w:val="en-GB"/>
              </w:rPr>
              <w:t>IEC 60571</w:t>
            </w:r>
            <w:r>
              <w:rPr>
                <w:rFonts w:hint="eastAsia"/>
                <w:lang w:val="en-GB"/>
              </w:rPr>
              <w:t>：</w:t>
            </w:r>
            <w:r>
              <w:rPr>
                <w:rFonts w:hint="default"/>
                <w:lang w:val="en-GB"/>
              </w:rPr>
              <w:t>12.2.11</w:t>
            </w:r>
            <w:r>
              <w:rPr>
                <w:rFonts w:hint="eastAsia"/>
                <w:lang w:val="en-GB"/>
              </w:rPr>
              <w:t>（</w:t>
            </w:r>
            <w:r>
              <w:rPr>
                <w:rFonts w:hint="default"/>
                <w:lang w:val="en-GB"/>
              </w:rPr>
              <w:t>ST4</w:t>
            </w:r>
            <w:r>
              <w:rPr>
                <w:rFonts w:hint="eastAsia"/>
                <w:lang w:val="en-GB"/>
              </w:rPr>
              <w:t>等级）要求</w:t>
            </w:r>
          </w:p>
        </w:tc>
      </w:tr>
    </w:tbl>
    <w:p>
      <w:pPr>
        <w:ind w:firstLine="480"/>
      </w:pPr>
      <w:r>
        <w:t>当控制器硬件变动时，如涉及到EMC电气改动，需根据项目要求进行型式试验。</w:t>
      </w:r>
    </w:p>
    <w:p>
      <w:pPr>
        <w:pStyle w:val="2"/>
        <w:tabs>
          <w:tab w:val="left" w:pos="397"/>
        </w:tabs>
        <w:spacing w:before="240" w:after="120"/>
      </w:pPr>
      <w:bookmarkStart w:id="140" w:name="_Toc136164112"/>
      <w:r>
        <w:t>供应商的工作</w:t>
      </w:r>
      <w:bookmarkEnd w:id="140"/>
    </w:p>
    <w:p>
      <w:pPr>
        <w:pStyle w:val="3"/>
        <w:tabs>
          <w:tab w:val="left" w:pos="0"/>
          <w:tab w:val="left" w:pos="624"/>
          <w:tab w:val="clear" w:pos="567"/>
        </w:tabs>
        <w:spacing w:before="24" w:after="24"/>
      </w:pPr>
      <w:bookmarkStart w:id="141" w:name="_Toc136164113"/>
      <w:r>
        <w:t>根据国祥提供的技术条件进行试制。</w:t>
      </w:r>
      <w:bookmarkEnd w:id="141"/>
    </w:p>
    <w:p>
      <w:pPr>
        <w:pStyle w:val="3"/>
        <w:tabs>
          <w:tab w:val="left" w:pos="0"/>
          <w:tab w:val="left" w:pos="624"/>
          <w:tab w:val="clear" w:pos="567"/>
        </w:tabs>
        <w:spacing w:before="24" w:after="24"/>
      </w:pPr>
      <w:bookmarkStart w:id="142" w:name="_Toc136164114"/>
      <w:r>
        <w:t>编制型式试验和例行试验大纲。</w:t>
      </w:r>
      <w:bookmarkEnd w:id="142"/>
    </w:p>
    <w:p>
      <w:pPr>
        <w:ind w:firstLine="480"/>
      </w:pPr>
      <w:r>
        <w:t>根据本技术条件，编制型式试验和例行试验大纲，并提交国祥进行审查。</w:t>
      </w:r>
    </w:p>
    <w:p>
      <w:pPr>
        <w:ind w:firstLine="480"/>
      </w:pPr>
      <w:r>
        <w:rPr>
          <w:rFonts w:hint="eastAsia"/>
        </w:rPr>
        <w:t>根据已确定的试验大纲，按要求进行各种试验并提交试验报告。</w:t>
      </w:r>
    </w:p>
    <w:p>
      <w:pPr>
        <w:pStyle w:val="3"/>
        <w:tabs>
          <w:tab w:val="left" w:pos="0"/>
          <w:tab w:val="left" w:pos="624"/>
          <w:tab w:val="clear" w:pos="567"/>
        </w:tabs>
        <w:spacing w:before="24" w:after="24"/>
      </w:pPr>
      <w:bookmarkStart w:id="143" w:name="_Toc136164115"/>
      <w:r>
        <w:t>提交材料证明报告</w:t>
      </w:r>
      <w:bookmarkEnd w:id="143"/>
    </w:p>
    <w:p>
      <w:pPr>
        <w:ind w:firstLine="480"/>
      </w:pPr>
      <w:r>
        <w:t>对所有使用的材料必须给出牌号、名称、采用标准及应用部件，并列出清单。</w:t>
      </w:r>
    </w:p>
    <w:p>
      <w:pPr>
        <w:ind w:firstLine="480"/>
      </w:pPr>
      <w:r>
        <w:rPr>
          <w:rFonts w:hint="eastAsia"/>
        </w:rPr>
        <w:t>PCB板提供EN45545-2 R24/R25(HL3)等级报告，其他非金属材料提供R22/R23/R26 (HL3)等级报告。</w:t>
      </w:r>
    </w:p>
    <w:p>
      <w:pPr>
        <w:ind w:firstLine="480"/>
      </w:pPr>
      <w:r>
        <w:t>禁止使用以下材料：PVC、石棉或包含石棉的材料、玻璃纤维、铅（包括铅钼合金）、胶合板、木板、热塑薄板、PCBs（多氯联苯）、PCT（聚己内酰胺）、CHC（含氯氟烃）、聚亚氨脂泡沫材料、铝螺纹紧固件、抗微生物剂、公共交通运输标准所禁止使用的材料。</w:t>
      </w:r>
    </w:p>
    <w:p>
      <w:pPr>
        <w:pStyle w:val="3"/>
        <w:tabs>
          <w:tab w:val="left" w:pos="0"/>
          <w:tab w:val="left" w:pos="624"/>
          <w:tab w:val="clear" w:pos="567"/>
        </w:tabs>
        <w:spacing w:before="24" w:after="24"/>
      </w:pPr>
      <w:bookmarkStart w:id="144" w:name="_Toc136164116"/>
      <w:r>
        <w:t>供货试装车，配合运行考核及负责可能的整改。</w:t>
      </w:r>
      <w:bookmarkEnd w:id="144"/>
    </w:p>
    <w:p>
      <w:pPr>
        <w:pStyle w:val="2"/>
        <w:tabs>
          <w:tab w:val="left" w:pos="397"/>
        </w:tabs>
        <w:spacing w:before="240" w:after="120"/>
      </w:pPr>
      <w:bookmarkStart w:id="145" w:name="_Toc136164117"/>
      <w:r>
        <w:t>技术资料及随机提供物品</w:t>
      </w:r>
      <w:bookmarkEnd w:id="145"/>
    </w:p>
    <w:p>
      <w:pPr>
        <w:pStyle w:val="3"/>
        <w:tabs>
          <w:tab w:val="left" w:pos="0"/>
          <w:tab w:val="left" w:pos="624"/>
          <w:tab w:val="clear" w:pos="567"/>
        </w:tabs>
        <w:spacing w:before="24" w:after="24"/>
      </w:pPr>
      <w:bookmarkStart w:id="146" w:name="_Toc136164118"/>
      <w:r>
        <w:t>技术文件</w:t>
      </w:r>
      <w:bookmarkEnd w:id="146"/>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9</w:t>
      </w:r>
      <w:r>
        <w:fldChar w:fldCharType="end"/>
      </w:r>
      <w:r>
        <w:rPr>
          <w:rFonts w:hint="eastAsia"/>
        </w:rPr>
        <w:t xml:space="preserve"> 技术文件清单</w:t>
      </w:r>
    </w:p>
    <w:tbl>
      <w:tblPr>
        <w:tblStyle w:val="6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254"/>
        <w:gridCol w:w="1554"/>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序号</w:t>
            </w:r>
          </w:p>
        </w:tc>
        <w:tc>
          <w:tcPr>
            <w:tcW w:w="3254"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要求</w:t>
            </w:r>
          </w:p>
        </w:tc>
        <w:tc>
          <w:tcPr>
            <w:tcW w:w="1554"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随主机提供</w:t>
            </w:r>
          </w:p>
        </w:tc>
        <w:tc>
          <w:tcPr>
            <w:tcW w:w="2670"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首批前提供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1</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例行实验大纲</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2</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例行实验报告（出厂）</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3</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型式实验大纲</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4</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型式实验报告</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1277" w:type="dxa"/>
            <w:tcBorders>
              <w:bottom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5</w:t>
            </w:r>
          </w:p>
        </w:tc>
        <w:tc>
          <w:tcPr>
            <w:tcW w:w="3254" w:type="dxa"/>
            <w:tcBorders>
              <w:top w:val="nil"/>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烟火报告</w:t>
            </w:r>
          </w:p>
        </w:tc>
        <w:tc>
          <w:tcPr>
            <w:tcW w:w="1554"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nil"/>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6</w:t>
            </w:r>
          </w:p>
        </w:tc>
        <w:tc>
          <w:tcPr>
            <w:tcW w:w="3254" w:type="dxa"/>
            <w:tcBorders>
              <w:top w:val="single" w:color="auto" w:sz="4" w:space="0"/>
              <w:left w:val="single" w:color="auto" w:sz="4" w:space="0"/>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用户手册（使用维护与保养说明书）</w:t>
            </w:r>
          </w:p>
        </w:tc>
        <w:tc>
          <w:tcPr>
            <w:tcW w:w="1554"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single" w:color="auto" w:sz="4" w:space="0"/>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Borders>
              <w:top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7</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合格证</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8</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签字版CBC（技术条件相应）</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9</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关键零部件清单</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10</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三维模型及二维图纸</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7" w:type="dxa"/>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11</w:t>
            </w:r>
          </w:p>
        </w:tc>
        <w:tc>
          <w:tcPr>
            <w:tcW w:w="3254" w:type="dxa"/>
            <w:tcBorders>
              <w:top w:val="single" w:color="auto" w:sz="4" w:space="0"/>
              <w:left w:val="nil"/>
              <w:bottom w:val="single" w:color="auto" w:sz="4" w:space="0"/>
              <w:right w:val="single" w:color="auto" w:sz="4" w:space="0"/>
            </w:tcBorders>
            <w:shd w:val="clear" w:color="auto" w:fill="auto"/>
          </w:tcPr>
          <w:p>
            <w:pPr>
              <w:pStyle w:val="156"/>
              <w:keepNext w:val="0"/>
              <w:keepLines w:val="0"/>
              <w:widowControl w:val="0"/>
              <w:suppressLineNumbers w:val="0"/>
              <w:spacing w:before="100" w:beforeAutospacing="1" w:after="100" w:afterAutospacing="1"/>
              <w:ind w:left="0" w:right="0"/>
              <w:rPr>
                <w:rFonts w:hint="default"/>
                <w:sz w:val="24"/>
              </w:rPr>
            </w:pPr>
            <w:r>
              <w:rPr>
                <w:rFonts w:hint="eastAsia"/>
                <w:sz w:val="24"/>
              </w:rPr>
              <w:t>部件应用的支撑资料（硬件图纸、软件驱动、调试软件等）</w:t>
            </w:r>
          </w:p>
        </w:tc>
        <w:tc>
          <w:tcPr>
            <w:tcW w:w="1554"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sz w:val="24"/>
              </w:rPr>
            </w:pPr>
          </w:p>
        </w:tc>
        <w:tc>
          <w:tcPr>
            <w:tcW w:w="2670" w:type="dxa"/>
            <w:tcBorders>
              <w:top w:val="single" w:color="auto" w:sz="4" w:space="0"/>
              <w:left w:val="nil"/>
              <w:bottom w:val="single" w:color="auto" w:sz="4" w:space="0"/>
              <w:right w:val="single" w:color="auto" w:sz="4" w:space="0"/>
            </w:tcBorders>
          </w:tcPr>
          <w:p>
            <w:pPr>
              <w:pStyle w:val="156"/>
              <w:keepNext w:val="0"/>
              <w:keepLines w:val="0"/>
              <w:widowControl w:val="0"/>
              <w:suppressLineNumbers w:val="0"/>
              <w:spacing w:before="100" w:beforeAutospacing="1" w:after="100" w:afterAutospacing="1"/>
              <w:ind w:left="0" w:right="0"/>
              <w:rPr>
                <w:rFonts w:hint="default" w:ascii="宋体" w:hAnsi="宋体"/>
                <w:sz w:val="24"/>
              </w:rPr>
            </w:pPr>
            <w:r>
              <w:rPr>
                <w:rFonts w:hint="eastAsia" w:ascii="宋体" w:hAnsi="宋体"/>
                <w:sz w:val="24"/>
              </w:rPr>
              <w:t>根据项目应用具体情况，如需要，则国祥会再次提起具体清单。</w:t>
            </w:r>
          </w:p>
        </w:tc>
      </w:tr>
    </w:tbl>
    <w:p>
      <w:pPr>
        <w:ind w:firstLine="480"/>
      </w:pPr>
      <w:r>
        <w:rPr>
          <w:rFonts w:hint="eastAsia"/>
        </w:rPr>
        <w:t>注1：至少应包含1.部件原理介绍，拓扑图；2.详细接口定义；3.通讯协议；4.部件参数列表及说明；5.可调参数、拨码开关等的列表及说明；6.外形尺寸二维图纸；7.使用注意事项；8.装箱清单；9.RAMS技术文件；</w:t>
      </w:r>
    </w:p>
    <w:p>
      <w:pPr>
        <w:ind w:firstLine="480"/>
      </w:pPr>
      <w:r>
        <w:rPr>
          <w:rFonts w:hint="eastAsia"/>
        </w:rPr>
        <w:t>注2：外形轮廓、安装尺寸等标注齐全、清晰，需标注公差。</w:t>
      </w:r>
    </w:p>
    <w:p>
      <w:pPr>
        <w:ind w:firstLine="480"/>
      </w:pPr>
      <w:r>
        <w:rPr>
          <w:rFonts w:hint="eastAsia"/>
        </w:rPr>
        <w:t>注3：检修周期，检修维护的步骤、使用的工具以及易损易耗件清单。</w:t>
      </w:r>
    </w:p>
    <w:p>
      <w:pPr>
        <w:pStyle w:val="3"/>
        <w:tabs>
          <w:tab w:val="left" w:pos="0"/>
          <w:tab w:val="left" w:pos="624"/>
          <w:tab w:val="clear" w:pos="567"/>
        </w:tabs>
        <w:spacing w:before="24" w:after="24"/>
      </w:pPr>
      <w:bookmarkStart w:id="147" w:name="_Toc136164119"/>
      <w:r>
        <w:t>合格证</w:t>
      </w:r>
      <w:bookmarkEnd w:id="147"/>
    </w:p>
    <w:p>
      <w:pPr>
        <w:ind w:firstLine="480"/>
      </w:pPr>
      <w:r>
        <w:t>a. 制造工厂名称；</w:t>
      </w:r>
    </w:p>
    <w:p>
      <w:pPr>
        <w:ind w:firstLine="480"/>
      </w:pPr>
      <w:r>
        <w:t>b. 产品名称、规格；</w:t>
      </w:r>
    </w:p>
    <w:p>
      <w:pPr>
        <w:ind w:firstLine="480"/>
      </w:pPr>
      <w:r>
        <w:t>c. 制造日期（年月日）；</w:t>
      </w:r>
    </w:p>
    <w:p>
      <w:pPr>
        <w:ind w:firstLine="480"/>
      </w:pPr>
      <w:r>
        <w:t>d. 产品编号；</w:t>
      </w:r>
    </w:p>
    <w:p>
      <w:pPr>
        <w:ind w:firstLine="480"/>
      </w:pPr>
      <w:r>
        <w:t>e. 检验人员印章。</w:t>
      </w:r>
    </w:p>
    <w:p>
      <w:pPr>
        <w:pStyle w:val="2"/>
        <w:tabs>
          <w:tab w:val="left" w:pos="397"/>
        </w:tabs>
        <w:spacing w:before="240" w:after="120"/>
      </w:pPr>
      <w:bookmarkStart w:id="148" w:name="_Toc136164120"/>
      <w:r>
        <w:t>包装及贮存</w:t>
      </w:r>
      <w:bookmarkEnd w:id="148"/>
      <w:r>
        <w:t xml:space="preserve"> </w:t>
      </w:r>
    </w:p>
    <w:p>
      <w:pPr>
        <w:ind w:firstLine="480"/>
      </w:pPr>
      <w:r>
        <w:t xml:space="preserve"> </w:t>
      </w:r>
      <w:r>
        <w:rPr>
          <w:rFonts w:hint="eastAsia"/>
        </w:rPr>
        <w:t>IO模块</w:t>
      </w:r>
      <w:r>
        <w:t>在制造试验完毕后，应采取有效措施，防止异物进入装置内部。</w:t>
      </w:r>
    </w:p>
    <w:p>
      <w:pPr>
        <w:ind w:firstLine="480"/>
      </w:pPr>
      <w:r>
        <w:t xml:space="preserve"> 包装及发货标志应符合有关规定。</w:t>
      </w:r>
    </w:p>
    <w:p>
      <w:pPr>
        <w:ind w:firstLine="480"/>
      </w:pPr>
      <w:r>
        <w:t xml:space="preserve"> 每台控制器需在外壳固定位置标识生产序列号，方案需提交国祥确认后实施。</w:t>
      </w:r>
    </w:p>
    <w:p>
      <w:pPr>
        <w:ind w:firstLine="480"/>
      </w:pPr>
      <w:r>
        <w:t xml:space="preserve"> 发货时所有连接器插头应随控制器一起发送；标注型号并粘贴型号于包装上。包装箱内有明确的附件清单。</w:t>
      </w:r>
    </w:p>
    <w:p>
      <w:pPr>
        <w:pStyle w:val="2"/>
        <w:tabs>
          <w:tab w:val="left" w:pos="397"/>
        </w:tabs>
        <w:spacing w:before="240" w:after="120"/>
      </w:pPr>
      <w:bookmarkStart w:id="149" w:name="_Toc136164121"/>
      <w:r>
        <w:t>其它事项</w:t>
      </w:r>
      <w:bookmarkEnd w:id="149"/>
    </w:p>
    <w:p>
      <w:pPr>
        <w:ind w:firstLine="480"/>
      </w:pPr>
      <w:r>
        <w:t>供应商有义务对直接及间接用户进行培训及现场指导，使用户清楚了解其基本原理、基本结构、使用维护及检修方法。</w:t>
      </w:r>
    </w:p>
    <w:p>
      <w:pPr>
        <w:ind w:firstLine="480"/>
      </w:pPr>
      <w:r>
        <w:t>供应商应及时了解其产品在段运行使用情况，及时改进设计及制造工艺，以提高产品的质量。控制器使用期间，供应商应及时提供技术支持，应在24小时内对发生的质量问题给予答复，并及时提供维修服务。</w:t>
      </w:r>
    </w:p>
    <w:p>
      <w:pPr>
        <w:ind w:firstLine="480"/>
      </w:pPr>
      <w:r>
        <w:t>从样机验证合格后控制器硬件的任何变更都须书面申请，经国祥同意后升级为相应版本。</w:t>
      </w:r>
    </w:p>
    <w:p>
      <w:pPr>
        <w:ind w:firstLine="480"/>
      </w:pPr>
      <w:r>
        <w:t>采用此系列控制器模块组装后的平均无故障时间不低于</w:t>
      </w:r>
      <w:r>
        <w:rPr>
          <w:rFonts w:hint="eastAsia"/>
        </w:rPr>
        <w:t>3</w:t>
      </w:r>
      <w:r>
        <w:t>0 0000小时。</w:t>
      </w:r>
    </w:p>
    <w:p>
      <w:pPr>
        <w:ind w:firstLine="480"/>
      </w:pPr>
      <w:r>
        <w:t>技术条件中未尽事宜，另行协商解决。</w:t>
      </w:r>
    </w:p>
    <w:p>
      <w:pPr>
        <w:widowControl/>
        <w:jc w:val="left"/>
      </w:pPr>
      <w:r>
        <w:br w:type="page"/>
      </w:r>
    </w:p>
    <w:p>
      <w:pPr>
        <w:pStyle w:val="2"/>
        <w:numPr>
          <w:ilvl w:val="0"/>
          <w:numId w:val="0"/>
        </w:numPr>
        <w:tabs>
          <w:tab w:val="left" w:pos="397"/>
        </w:tabs>
        <w:spacing w:before="240" w:after="120"/>
        <w:ind w:left="432" w:hanging="432"/>
      </w:pPr>
      <w:bookmarkStart w:id="150" w:name="_Toc136164122"/>
      <w:r>
        <w:rPr>
          <w:rFonts w:hint="eastAsia"/>
        </w:rPr>
        <w:t>附录1：NTC10K温度传感器阻值对应表</w:t>
      </w:r>
      <w:bookmarkEnd w:id="150"/>
    </w:p>
    <w:p>
      <w:pPr>
        <w:pStyle w:val="16"/>
        <w:ind w:firstLine="400"/>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10</w:t>
      </w:r>
      <w:r>
        <w:fldChar w:fldCharType="end"/>
      </w:r>
      <w:r>
        <w:rPr>
          <w:rFonts w:hint="eastAsia"/>
        </w:rPr>
        <w:t xml:space="preserve"> 温度传感器阻值对应表</w:t>
      </w:r>
    </w:p>
    <w:tbl>
      <w:tblPr>
        <w:tblStyle w:val="60"/>
        <w:tblW w:w="9287" w:type="dxa"/>
        <w:tblInd w:w="0" w:type="dxa"/>
        <w:tblLayout w:type="fixed"/>
        <w:tblCellMar>
          <w:top w:w="0" w:type="dxa"/>
          <w:left w:w="108" w:type="dxa"/>
          <w:bottom w:w="0" w:type="dxa"/>
          <w:right w:w="108" w:type="dxa"/>
        </w:tblCellMar>
      </w:tblPr>
      <w:tblGrid>
        <w:gridCol w:w="1242"/>
        <w:gridCol w:w="1276"/>
        <w:gridCol w:w="1120"/>
        <w:gridCol w:w="1270"/>
        <w:gridCol w:w="1154"/>
        <w:gridCol w:w="1249"/>
        <w:gridCol w:w="707"/>
        <w:gridCol w:w="1269"/>
      </w:tblGrid>
      <w:tr>
        <w:tblPrEx>
          <w:tblLayout w:type="fixed"/>
          <w:tblCellMar>
            <w:top w:w="0" w:type="dxa"/>
            <w:left w:w="108" w:type="dxa"/>
            <w:bottom w:w="0" w:type="dxa"/>
            <w:right w:w="108" w:type="dxa"/>
          </w:tblCellMar>
        </w:tblPrEx>
        <w:trPr>
          <w:trHeight w:val="405" w:hRule="atLeast"/>
        </w:trPr>
        <w:tc>
          <w:tcPr>
            <w:tcW w:w="928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640"/>
              <w:jc w:val="center"/>
              <w:rPr>
                <w:rFonts w:hint="default"/>
                <w:kern w:val="0"/>
                <w:sz w:val="32"/>
                <w:szCs w:val="32"/>
              </w:rPr>
            </w:pPr>
            <w:r>
              <w:rPr>
                <w:rFonts w:hint="default"/>
                <w:kern w:val="0"/>
                <w:sz w:val="32"/>
                <w:szCs w:val="32"/>
              </w:rPr>
              <w:t>NTC</w:t>
            </w:r>
            <w:r>
              <w:rPr>
                <w:rFonts w:hint="eastAsia" w:ascii="宋体" w:hAnsi="宋体"/>
                <w:kern w:val="0"/>
                <w:sz w:val="32"/>
                <w:szCs w:val="32"/>
              </w:rPr>
              <w:t>热敏电阻-分度表</w:t>
            </w:r>
          </w:p>
        </w:tc>
      </w:tr>
      <w:tr>
        <w:tblPrEx>
          <w:tblLayout w:type="fixed"/>
          <w:tblCellMar>
            <w:top w:w="0" w:type="dxa"/>
            <w:left w:w="108" w:type="dxa"/>
            <w:bottom w:w="0" w:type="dxa"/>
            <w:right w:w="108" w:type="dxa"/>
          </w:tblCellMar>
        </w:tblPrEx>
        <w:trPr>
          <w:trHeight w:val="405" w:hRule="atLeast"/>
        </w:trPr>
        <w:tc>
          <w:tcPr>
            <w:tcW w:w="3638" w:type="dxa"/>
            <w:gridSpan w:val="3"/>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标称电阻值：R（25℃）=10KΩ　</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　</w:t>
            </w:r>
          </w:p>
        </w:tc>
        <w:tc>
          <w:tcPr>
            <w:tcW w:w="3110" w:type="dxa"/>
            <w:gridSpan w:val="3"/>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温度系数（B25/50）=3950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　</w:t>
            </w:r>
          </w:p>
        </w:tc>
      </w:tr>
      <w:tr>
        <w:tblPrEx>
          <w:tblLayout w:type="fixed"/>
          <w:tblCellMar>
            <w:top w:w="0" w:type="dxa"/>
            <w:left w:w="108" w:type="dxa"/>
            <w:bottom w:w="0" w:type="dxa"/>
            <w:right w:w="108" w:type="dxa"/>
          </w:tblCellMar>
        </w:tblPrEx>
        <w:trPr>
          <w:trHeight w:val="561"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温度(℃)</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标准阻值(KΩ)</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温度(℃)</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标准阻值(KΩ)</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温度(℃)</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标准阻值(KΩ)</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温度(℃)</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标准阻值(KΩ)</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322.049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39.798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7.407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1.863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301.964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37.789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7.103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1.800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283.239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35.893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6.813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1.739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265.775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34.103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6.535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1.680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249.482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32.412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6.271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1.623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234.274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30.815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6.019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1.569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220.076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29.305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5.777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1.517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206.815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27.878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5.547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1.466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194.425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26.528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5.327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1.418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182.844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25.251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5.117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1.372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172.017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24.043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4.917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1.327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161.889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22.900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4.725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1.284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152.414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21.817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4.541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1.242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143.545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20.792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4.366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1.202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135.241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19.820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4.198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1.164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127.463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18.900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4.037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1.127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120.176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18.027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3.884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1.091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113.346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17.200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49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3.737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1.057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106.941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16.415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3.596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1.024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100.934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15.670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3.462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0.992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95.298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14.963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3.333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0.961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90.008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14.293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3.209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0.931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85.041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13.656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3.091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0.903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80.376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13.051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2.977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91</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0.875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75.993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12.476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2.869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92</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0.848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71.874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11.929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2.764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93</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0.823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68.001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22</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11.410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58</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2.665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94</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0.798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64.358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23</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10.916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59</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2.569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95</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0.774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60.931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24</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10.446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60</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2.477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96</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0.751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-11</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57.705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25</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10.000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61</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2.389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97</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0.728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54.669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26</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9.573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62</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2.304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98</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0.707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51.809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27</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9.168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63</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2.223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99</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0.686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49.115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28</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8.781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64</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2.145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100</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0.666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-7</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46.577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29</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8.413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65</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2.070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44.183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30</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8.061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66</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1.999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　</w:t>
            </w:r>
          </w:p>
        </w:tc>
      </w:tr>
      <w:tr>
        <w:tblPrEx>
          <w:tblLayout w:type="fixed"/>
          <w:tblCellMar>
            <w:top w:w="0" w:type="dxa"/>
            <w:left w:w="108" w:type="dxa"/>
            <w:bottom w:w="0" w:type="dxa"/>
            <w:right w:w="108" w:type="dxa"/>
          </w:tblCellMar>
        </w:tblPrEx>
        <w:trPr>
          <w:trHeight w:val="285"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41.927 </w:t>
            </w:r>
          </w:p>
        </w:tc>
        <w:tc>
          <w:tcPr>
            <w:tcW w:w="11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31</w:t>
            </w:r>
          </w:p>
        </w:tc>
        <w:tc>
          <w:tcPr>
            <w:tcW w:w="127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7.727 </w:t>
            </w:r>
          </w:p>
        </w:tc>
        <w:tc>
          <w:tcPr>
            <w:tcW w:w="115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67</w:t>
            </w:r>
          </w:p>
        </w:tc>
        <w:tc>
          <w:tcPr>
            <w:tcW w:w="124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kern w:val="0"/>
                <w:szCs w:val="20"/>
              </w:rPr>
            </w:pPr>
            <w:r>
              <w:rPr>
                <w:rFonts w:hint="eastAsia" w:ascii="宋体" w:hAnsi="宋体" w:cs="宋体"/>
                <w:kern w:val="0"/>
                <w:szCs w:val="20"/>
              </w:rPr>
              <w:t xml:space="preserve">1.930 </w:t>
            </w:r>
          </w:p>
        </w:tc>
        <w:tc>
          <w:tcPr>
            <w:tcW w:w="70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　</w:t>
            </w:r>
          </w:p>
        </w:tc>
        <w:tc>
          <w:tcPr>
            <w:tcW w:w="1269"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宋体" w:hAnsi="宋体" w:cs="宋体"/>
                <w:kern w:val="0"/>
                <w:szCs w:val="20"/>
              </w:rPr>
            </w:pPr>
            <w:r>
              <w:rPr>
                <w:rFonts w:hint="eastAsia" w:ascii="宋体" w:hAnsi="宋体" w:cs="宋体"/>
                <w:kern w:val="0"/>
                <w:szCs w:val="20"/>
              </w:rPr>
              <w:t>　</w:t>
            </w:r>
          </w:p>
        </w:tc>
      </w:tr>
    </w:tbl>
    <w:p>
      <w:pPr>
        <w:widowControl/>
        <w:jc w:val="left"/>
      </w:pPr>
    </w:p>
    <w:p>
      <w:pPr>
        <w:pStyle w:val="2"/>
        <w:numPr>
          <w:ilvl w:val="0"/>
          <w:numId w:val="0"/>
        </w:numPr>
        <w:tabs>
          <w:tab w:val="left" w:pos="397"/>
        </w:tabs>
        <w:spacing w:before="240" w:after="120"/>
        <w:ind w:firstLine="883" w:firstLineChars="200"/>
      </w:pPr>
      <w:bookmarkStart w:id="151" w:name="_Toc136164123"/>
      <w:r>
        <w:rPr>
          <w:rFonts w:hint="eastAsia"/>
        </w:rPr>
        <w:t>附录2：技术要求</w:t>
      </w:r>
      <w:bookmarkEnd w:id="151"/>
    </w:p>
    <w:p>
      <w:pPr>
        <w:ind w:firstLine="480"/>
      </w:pPr>
      <w:r>
        <w:rPr>
          <w:rFonts w:hint="eastAsia"/>
        </w:rPr>
        <w:t>外壳安装十字头螺钉（螺纹规格M4），不涂螺纹紧固剂，不画防松线；</w:t>
      </w:r>
    </w:p>
    <w:p>
      <w:pPr>
        <w:ind w:firstLine="480"/>
      </w:pPr>
      <w:r>
        <w:rPr>
          <w:rFonts w:hint="eastAsia"/>
        </w:rPr>
        <w:t>外形尺寸、壳体丝印满足设计要求；</w:t>
      </w:r>
    </w:p>
    <w:p>
      <w:pPr>
        <w:ind w:firstLine="480"/>
      </w:pPr>
      <w:r>
        <w:rPr>
          <w:rFonts w:hint="eastAsia"/>
        </w:rPr>
        <w:t>重量≤2kg；</w:t>
      </w:r>
    </w:p>
    <w:p>
      <w:pPr>
        <w:pStyle w:val="192"/>
        <w:ind w:firstLine="480"/>
      </w:pPr>
      <w:r>
        <w:rPr>
          <w:rFonts w:hint="eastAsia"/>
        </w:rPr>
        <w:t>为实现产品防水效果，对不使用的孔位采用塑料端子塞填充，推荐购买信息如下：</w:t>
      </w:r>
    </w:p>
    <w:p>
      <w:pPr>
        <w:ind w:firstLine="480"/>
      </w:pPr>
      <w:r>
        <w:t>引脚定义如下</w:t>
      </w:r>
      <w:r>
        <w:rPr>
          <w:rFonts w:hint="eastAsia"/>
        </w:rPr>
        <w:t>（注意XS1/XS2和XS3/XS4之间的防差错设计）</w:t>
      </w:r>
      <w:r>
        <w:t>：</w:t>
      </w:r>
    </w:p>
    <w:p>
      <w:pPr>
        <w:pStyle w:val="192"/>
        <w:ind w:firstLine="0" w:firstLineChars="0"/>
      </w:pPr>
    </w:p>
    <w:p>
      <w:pPr>
        <w:pStyle w:val="192"/>
        <w:ind w:firstLine="0" w:firstLineChars="0"/>
        <w:jc w:val="center"/>
      </w:pPr>
      <w:r>
        <w:drawing>
          <wp:inline distT="0" distB="0" distL="0" distR="0">
            <wp:extent cx="5274310" cy="2459990"/>
            <wp:effectExtent l="0" t="0" r="254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a:stretch>
                      <a:fillRect/>
                    </a:stretch>
                  </pic:blipFill>
                  <pic:spPr>
                    <a:xfrm>
                      <a:off x="0" y="0"/>
                      <a:ext cx="5274310" cy="2459990"/>
                    </a:xfrm>
                    <a:prstGeom prst="rect">
                      <a:avLst/>
                    </a:prstGeom>
                  </pic:spPr>
                </pic:pic>
              </a:graphicData>
            </a:graphic>
          </wp:inline>
        </w:drawing>
      </w:r>
    </w:p>
    <w:p>
      <w:pPr>
        <w:ind w:firstLine="480"/>
      </w:pPr>
      <w:r>
        <w:br w:type="page"/>
      </w:r>
    </w:p>
    <w:p>
      <w:pPr>
        <w:pStyle w:val="2"/>
        <w:numPr>
          <w:ilvl w:val="0"/>
          <w:numId w:val="0"/>
        </w:numPr>
        <w:tabs>
          <w:tab w:val="left" w:pos="397"/>
        </w:tabs>
        <w:spacing w:before="240" w:after="120"/>
        <w:ind w:firstLine="883" w:firstLineChars="200"/>
      </w:pPr>
      <w:bookmarkStart w:id="152" w:name="_Toc136164124"/>
      <w:r>
        <w:rPr>
          <w:rFonts w:hint="eastAsia"/>
        </w:rPr>
        <w:t>附录3：外形尺寸图</w:t>
      </w:r>
      <w:bookmarkEnd w:id="152"/>
    </w:p>
    <w:p>
      <w:pPr>
        <w:ind w:firstLine="480"/>
      </w:pPr>
      <w:r>
        <w:rPr>
          <w:rFonts w:hint="eastAsia"/>
          <w:color w:val="FF0000"/>
        </w:rPr>
        <w:t>参见P97K0082图纸.</w:t>
      </w:r>
    </w:p>
    <w:p>
      <w:pPr>
        <w:pStyle w:val="2"/>
        <w:numPr>
          <w:ilvl w:val="0"/>
          <w:numId w:val="0"/>
        </w:numPr>
        <w:tabs>
          <w:tab w:val="left" w:pos="397"/>
        </w:tabs>
        <w:spacing w:before="240" w:after="120"/>
        <w:ind w:firstLine="442" w:firstLineChars="100"/>
      </w:pPr>
    </w:p>
    <w:p>
      <w:pPr>
        <w:pStyle w:val="2"/>
        <w:numPr>
          <w:ilvl w:val="0"/>
          <w:numId w:val="0"/>
        </w:numPr>
        <w:tabs>
          <w:tab w:val="left" w:pos="397"/>
        </w:tabs>
        <w:spacing w:before="240" w:after="120"/>
        <w:ind w:firstLine="442" w:firstLineChars="100"/>
      </w:pPr>
    </w:p>
    <w:p/>
    <w:p/>
    <w:p/>
    <w:p/>
    <w:p/>
    <w:p/>
    <w:p/>
    <w:p/>
    <w:p>
      <w:pPr>
        <w:sectPr>
          <w:footerReference r:id="rId20" w:type="first"/>
          <w:headerReference r:id="rId18" w:type="default"/>
          <w:footerReference r:id="rId19" w:type="default"/>
          <w:pgSz w:w="11907" w:h="16840"/>
          <w:pgMar w:top="1134" w:right="1418" w:bottom="1134" w:left="1418" w:header="794" w:footer="737" w:gutter="0"/>
          <w:pgNumType w:start="1"/>
          <w:cols w:space="425" w:num="1"/>
          <w:docGrid w:linePitch="381" w:charSpace="0"/>
        </w:sectPr>
      </w:pPr>
    </w:p>
    <w:p>
      <w:pPr>
        <w:pStyle w:val="2"/>
        <w:numPr>
          <w:ilvl w:val="0"/>
          <w:numId w:val="0"/>
        </w:numPr>
        <w:tabs>
          <w:tab w:val="left" w:pos="397"/>
        </w:tabs>
        <w:spacing w:before="240" w:after="120"/>
      </w:pPr>
      <w:bookmarkStart w:id="153" w:name="_Toc136164125"/>
      <w:r>
        <w:rPr>
          <w:rFonts w:hint="eastAsia"/>
        </w:rPr>
        <w:t>附录4：端子定义</w:t>
      </w:r>
      <w:bookmarkEnd w:id="153"/>
    </w:p>
    <w:p>
      <w:pPr>
        <w:pStyle w:val="16"/>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11</w:t>
      </w:r>
      <w:r>
        <w:fldChar w:fldCharType="end"/>
      </w:r>
      <w:r>
        <w:rPr>
          <w:rFonts w:hint="eastAsia"/>
        </w:rPr>
        <w:t xml:space="preserve"> </w:t>
      </w:r>
      <w:r>
        <w:rPr>
          <w:rFonts w:hint="eastAsia"/>
          <w:lang w:eastAsia="zh-CN"/>
        </w:rPr>
        <w:t>XS1</w:t>
      </w:r>
    </w:p>
    <w:tbl>
      <w:tblPr>
        <w:tblStyle w:val="60"/>
        <w:tblW w:w="9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095"/>
        <w:gridCol w:w="3783"/>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序号</w:t>
            </w:r>
          </w:p>
        </w:tc>
        <w:tc>
          <w:tcPr>
            <w:tcW w:w="2095"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定义</w:t>
            </w:r>
          </w:p>
        </w:tc>
        <w:tc>
          <w:tcPr>
            <w:tcW w:w="3783"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引脚功能</w:t>
            </w:r>
            <w:r>
              <w:rPr>
                <w:rFonts w:hint="default"/>
                <w:sz w:val="24"/>
                <w:szCs w:val="20"/>
              </w:rPr>
              <w:t>描述</w:t>
            </w:r>
          </w:p>
        </w:tc>
        <w:tc>
          <w:tcPr>
            <w:tcW w:w="2951"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DC24V-</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24V</w:t>
            </w:r>
            <w:r>
              <w:rPr>
                <w:rFonts w:hint="eastAsia" w:cs="宋体"/>
                <w:sz w:val="24"/>
                <w:szCs w:val="22"/>
                <w:lang w:bidi="ar"/>
              </w:rPr>
              <w:t>电源负</w:t>
            </w:r>
          </w:p>
        </w:tc>
        <w:tc>
          <w:tcPr>
            <w:tcW w:w="2951"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DC24V</w:t>
            </w:r>
            <w:r>
              <w:rPr>
                <w:rFonts w:hint="eastAsia"/>
                <w:sz w:val="24"/>
                <w:szCs w:val="22"/>
                <w:lang w:bidi="ar"/>
              </w:rPr>
              <w:t>电源输入负，端子电流不低于</w:t>
            </w:r>
            <w:r>
              <w:rPr>
                <w:rFonts w:hint="default"/>
                <w:sz w:val="24"/>
                <w:szCs w:val="22"/>
                <w:lang w:bidi="ar"/>
              </w:rPr>
              <w:t>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EEV1-12V</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电子膨胀阀线圈公共端电源</w:t>
            </w:r>
            <w:r>
              <w:rPr>
                <w:rFonts w:hint="default"/>
                <w:sz w:val="24"/>
                <w:szCs w:val="22"/>
                <w:lang w:bidi="ar"/>
              </w:rPr>
              <w:t>12V+</w:t>
            </w:r>
          </w:p>
        </w:tc>
        <w:tc>
          <w:tcPr>
            <w:tcW w:w="2951"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第一路电子膨胀阀输出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A+</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4</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A-</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5</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B+</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6</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B-</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7</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5VOUT</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5V</w:t>
            </w:r>
            <w:r>
              <w:rPr>
                <w:rFonts w:hint="eastAsia" w:cs="宋体"/>
                <w:sz w:val="24"/>
                <w:szCs w:val="22"/>
                <w:lang w:bidi="ar"/>
              </w:rPr>
              <w:t>输出正</w:t>
            </w:r>
          </w:p>
        </w:tc>
        <w:tc>
          <w:tcPr>
            <w:tcW w:w="2951"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DC5V</w:t>
            </w:r>
            <w:r>
              <w:rPr>
                <w:rFonts w:hint="eastAsia"/>
                <w:sz w:val="24"/>
                <w:szCs w:val="22"/>
                <w:lang w:bidi="ar"/>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8</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5VOUT_GND</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5V</w:t>
            </w:r>
            <w:r>
              <w:rPr>
                <w:rFonts w:hint="eastAsia" w:cs="宋体"/>
                <w:sz w:val="24"/>
                <w:szCs w:val="22"/>
                <w:lang w:bidi="ar"/>
              </w:rPr>
              <w:t>输出负</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9</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RS485_120_1</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120</w:t>
            </w:r>
            <w:r>
              <w:rPr>
                <w:rFonts w:hint="eastAsia" w:cs="宋体"/>
                <w:sz w:val="24"/>
                <w:szCs w:val="22"/>
                <w:lang w:bidi="ar"/>
              </w:rPr>
              <w:t>电阻</w:t>
            </w:r>
          </w:p>
        </w:tc>
        <w:tc>
          <w:tcPr>
            <w:tcW w:w="2951"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sz w:val="24"/>
                <w:szCs w:val="22"/>
                <w:lang w:bidi="ar"/>
              </w:rPr>
              <w:t>终端电阻跳线：</w:t>
            </w:r>
            <w:r>
              <w:rPr>
                <w:rFonts w:hint="default"/>
                <w:sz w:val="24"/>
                <w:szCs w:val="22"/>
                <w:lang w:bidi="ar"/>
              </w:rPr>
              <w:t>1</w:t>
            </w:r>
            <w:r>
              <w:rPr>
                <w:rFonts w:hint="eastAsia"/>
                <w:sz w:val="24"/>
                <w:szCs w:val="22"/>
                <w:lang w:bidi="ar"/>
              </w:rPr>
              <w:t>、和端子</w:t>
            </w:r>
            <w:r>
              <w:rPr>
                <w:rFonts w:hint="default"/>
                <w:sz w:val="24"/>
                <w:szCs w:val="22"/>
                <w:lang w:bidi="ar"/>
              </w:rPr>
              <w:t>RS485_120_</w:t>
            </w:r>
            <w:r>
              <w:rPr>
                <w:rFonts w:hint="eastAsia"/>
                <w:sz w:val="24"/>
                <w:szCs w:val="22"/>
                <w:lang w:bidi="ar"/>
              </w:rPr>
              <w:t>2短接时接入</w:t>
            </w:r>
            <w:r>
              <w:rPr>
                <w:rFonts w:hint="default"/>
                <w:sz w:val="24"/>
                <w:szCs w:val="22"/>
                <w:lang w:bidi="ar"/>
              </w:rPr>
              <w:t>R120</w:t>
            </w:r>
            <w:r>
              <w:rPr>
                <w:rFonts w:hint="eastAsia"/>
                <w:sz w:val="24"/>
                <w:szCs w:val="22"/>
                <w:lang w:bidi="ar"/>
              </w:rPr>
              <w:t>电阻；</w:t>
            </w:r>
            <w:r>
              <w:rPr>
                <w:rFonts w:hint="default"/>
                <w:sz w:val="24"/>
                <w:szCs w:val="22"/>
                <w:lang w:bidi="ar"/>
              </w:rPr>
              <w:t>2</w:t>
            </w:r>
            <w:r>
              <w:rPr>
                <w:rFonts w:hint="eastAsia"/>
                <w:sz w:val="24"/>
                <w:szCs w:val="22"/>
                <w:lang w:bidi="ar"/>
              </w:rPr>
              <w:t>、不短接时不接入电阻；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10</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DC24V+</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24V</w:t>
            </w:r>
            <w:r>
              <w:rPr>
                <w:rFonts w:hint="eastAsia" w:cs="宋体"/>
                <w:sz w:val="24"/>
                <w:szCs w:val="22"/>
                <w:lang w:bidi="ar"/>
              </w:rPr>
              <w:t>电源正</w:t>
            </w:r>
          </w:p>
        </w:tc>
        <w:tc>
          <w:tcPr>
            <w:tcW w:w="2951"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DC24V</w:t>
            </w:r>
            <w:r>
              <w:rPr>
                <w:rFonts w:hint="eastAsia"/>
                <w:sz w:val="24"/>
                <w:szCs w:val="22"/>
                <w:lang w:bidi="ar"/>
              </w:rPr>
              <w:t>电源输入正，端子电流不低于</w:t>
            </w:r>
            <w:r>
              <w:rPr>
                <w:rFonts w:hint="default"/>
                <w:sz w:val="24"/>
                <w:szCs w:val="22"/>
                <w:lang w:bidi="ar"/>
              </w:rPr>
              <w:t>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11</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EEV1-12V</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电子膨胀阀线圈公共端电源</w:t>
            </w:r>
            <w:r>
              <w:rPr>
                <w:rFonts w:hint="default"/>
                <w:sz w:val="24"/>
                <w:szCs w:val="22"/>
                <w:lang w:bidi="ar"/>
              </w:rPr>
              <w:t>12V+</w:t>
            </w:r>
          </w:p>
        </w:tc>
        <w:tc>
          <w:tcPr>
            <w:tcW w:w="2951" w:type="dxa"/>
            <w:vMerge w:val="restart"/>
            <w:vAlign w:val="center"/>
          </w:tcPr>
          <w:p>
            <w:pPr>
              <w:keepNext w:val="0"/>
              <w:keepLines w:val="0"/>
              <w:suppressLineNumbers w:val="0"/>
              <w:spacing w:before="0" w:beforeAutospacing="0" w:after="0" w:afterAutospacing="0" w:line="360" w:lineRule="auto"/>
              <w:ind w:left="0" w:right="0"/>
              <w:rPr>
                <w:rFonts w:hint="default"/>
                <w:sz w:val="24"/>
                <w:szCs w:val="22"/>
                <w:lang w:bidi="ar"/>
              </w:rPr>
            </w:pPr>
          </w:p>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第一路电子膨胀阀输出扩展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12</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A+</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13</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A-</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14</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B+</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15</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EEV1-B-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B-</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16</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RS485_120_2</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120</w:t>
            </w:r>
            <w:r>
              <w:rPr>
                <w:rFonts w:hint="eastAsia" w:cs="宋体"/>
                <w:sz w:val="24"/>
                <w:szCs w:val="22"/>
                <w:lang w:bidi="ar"/>
              </w:rPr>
              <w:t>电阻</w:t>
            </w:r>
          </w:p>
        </w:tc>
        <w:tc>
          <w:tcPr>
            <w:tcW w:w="2951" w:type="dxa"/>
            <w:vAlign w:val="center"/>
          </w:tcPr>
          <w:p>
            <w:pPr>
              <w:keepNext w:val="0"/>
              <w:keepLines w:val="0"/>
              <w:suppressLineNumbers w:val="0"/>
              <w:spacing w:before="0" w:beforeAutospacing="0" w:after="0" w:afterAutospacing="0" w:line="360" w:lineRule="auto"/>
              <w:ind w:left="0" w:right="0"/>
              <w:rPr>
                <w:rFonts w:hint="default"/>
                <w:sz w:val="24"/>
                <w:szCs w:val="22"/>
              </w:rPr>
            </w:pPr>
            <w:r>
              <w:rPr>
                <w:rFonts w:hint="default"/>
                <w:sz w:val="24"/>
                <w:szCs w:val="22"/>
                <w:lang w:bidi="ar"/>
              </w:rPr>
              <w:t>RS485</w:t>
            </w:r>
            <w:r>
              <w:rPr>
                <w:rFonts w:hint="eastAsia"/>
                <w:sz w:val="24"/>
                <w:szCs w:val="22"/>
                <w:lang w:bidi="ar"/>
              </w:rPr>
              <w:t>终端电阻跳线：</w:t>
            </w:r>
            <w:r>
              <w:rPr>
                <w:rFonts w:hint="default"/>
                <w:sz w:val="24"/>
                <w:szCs w:val="22"/>
                <w:lang w:bidi="ar"/>
              </w:rPr>
              <w:t>1</w:t>
            </w:r>
            <w:r>
              <w:rPr>
                <w:rFonts w:hint="eastAsia"/>
                <w:sz w:val="24"/>
                <w:szCs w:val="22"/>
                <w:lang w:bidi="ar"/>
              </w:rPr>
              <w:t>、和端子</w:t>
            </w:r>
            <w:r>
              <w:rPr>
                <w:rFonts w:hint="default"/>
                <w:sz w:val="24"/>
                <w:szCs w:val="22"/>
                <w:lang w:bidi="ar"/>
              </w:rPr>
              <w:t>RS485_120_</w:t>
            </w:r>
            <w:r>
              <w:rPr>
                <w:rFonts w:hint="eastAsia"/>
                <w:sz w:val="24"/>
                <w:szCs w:val="22"/>
                <w:lang w:bidi="ar"/>
              </w:rPr>
              <w:t>1短接时接入</w:t>
            </w:r>
            <w:r>
              <w:rPr>
                <w:rFonts w:hint="default"/>
                <w:sz w:val="24"/>
                <w:szCs w:val="22"/>
                <w:lang w:bidi="ar"/>
              </w:rPr>
              <w:t>R120</w:t>
            </w:r>
            <w:r>
              <w:rPr>
                <w:rFonts w:hint="eastAsia"/>
                <w:sz w:val="24"/>
                <w:szCs w:val="22"/>
                <w:lang w:bidi="ar"/>
              </w:rPr>
              <w:t>电阻；</w:t>
            </w:r>
            <w:r>
              <w:rPr>
                <w:rFonts w:hint="default"/>
                <w:sz w:val="24"/>
                <w:szCs w:val="22"/>
                <w:lang w:bidi="ar"/>
              </w:rPr>
              <w:t>2</w:t>
            </w:r>
            <w:r>
              <w:rPr>
                <w:rFonts w:hint="eastAsia"/>
                <w:sz w:val="24"/>
                <w:szCs w:val="22"/>
                <w:lang w:bidi="ar"/>
              </w:rPr>
              <w:t>、不短接时不接入电阻；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17</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51"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sz w:val="24"/>
                <w:szCs w:val="22"/>
                <w:lang w:bidi="ar"/>
              </w:rPr>
              <w:t>通讯接口1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18</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EEV2-12V</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电子膨胀阀线圈公共端电源</w:t>
            </w:r>
            <w:r>
              <w:rPr>
                <w:rFonts w:hint="default"/>
                <w:sz w:val="24"/>
                <w:szCs w:val="22"/>
                <w:lang w:bidi="ar"/>
              </w:rPr>
              <w:t>12V+</w:t>
            </w:r>
          </w:p>
        </w:tc>
        <w:tc>
          <w:tcPr>
            <w:tcW w:w="2951"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第二路电子膨胀阀输出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19</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A+</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20</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A-</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21</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B+</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22</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B-</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23</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RS485_A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cs="宋体"/>
                <w:sz w:val="24"/>
                <w:szCs w:val="22"/>
                <w:lang w:bidi="ar"/>
              </w:rPr>
              <w:t>通讯线</w:t>
            </w:r>
            <w:r>
              <w:rPr>
                <w:rFonts w:hint="default"/>
                <w:sz w:val="24"/>
                <w:szCs w:val="22"/>
                <w:lang w:bidi="ar"/>
              </w:rPr>
              <w:t>A,</w:t>
            </w:r>
            <w:r>
              <w:rPr>
                <w:rFonts w:hint="eastAsia" w:cs="宋体"/>
                <w:sz w:val="24"/>
                <w:szCs w:val="22"/>
                <w:lang w:bidi="ar"/>
              </w:rPr>
              <w:t>通道</w:t>
            </w:r>
            <w:r>
              <w:rPr>
                <w:rFonts w:hint="default"/>
                <w:sz w:val="24"/>
                <w:szCs w:val="22"/>
                <w:lang w:bidi="ar"/>
              </w:rPr>
              <w:t>1</w:t>
            </w:r>
          </w:p>
        </w:tc>
        <w:tc>
          <w:tcPr>
            <w:tcW w:w="2951"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sz w:val="24"/>
                <w:szCs w:val="22"/>
                <w:lang w:bidi="ar"/>
              </w:rPr>
              <w:t>通讯接口1，两路对外</w:t>
            </w:r>
            <w:r>
              <w:rPr>
                <w:rFonts w:hint="default"/>
                <w:sz w:val="24"/>
                <w:szCs w:val="22"/>
                <w:lang w:bidi="ar"/>
              </w:rPr>
              <w:t>RS485</w:t>
            </w:r>
            <w:r>
              <w:rPr>
                <w:rFonts w:hint="eastAsia"/>
                <w:sz w:val="24"/>
                <w:szCs w:val="22"/>
                <w:lang w:bidi="ar"/>
              </w:rPr>
              <w:t>接线端子内部是短接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24</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RS485_B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cs="宋体"/>
                <w:sz w:val="24"/>
                <w:szCs w:val="22"/>
                <w:lang w:bidi="ar"/>
              </w:rPr>
              <w:t>通讯线</w:t>
            </w:r>
            <w:r>
              <w:rPr>
                <w:rFonts w:hint="default"/>
                <w:sz w:val="24"/>
                <w:szCs w:val="22"/>
                <w:lang w:bidi="ar"/>
              </w:rPr>
              <w:t>B,</w:t>
            </w:r>
            <w:r>
              <w:rPr>
                <w:rFonts w:hint="eastAsia" w:cs="宋体"/>
                <w:sz w:val="24"/>
                <w:szCs w:val="22"/>
                <w:lang w:bidi="ar"/>
              </w:rPr>
              <w:t>通道</w:t>
            </w:r>
            <w:r>
              <w:rPr>
                <w:rFonts w:hint="default"/>
                <w:sz w:val="24"/>
                <w:szCs w:val="22"/>
                <w:lang w:bidi="ar"/>
              </w:rPr>
              <w:t>1</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25</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GND_485</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cs="宋体"/>
                <w:sz w:val="24"/>
                <w:szCs w:val="22"/>
                <w:lang w:bidi="ar"/>
              </w:rPr>
              <w:t>地</w:t>
            </w:r>
            <w:r>
              <w:rPr>
                <w:rFonts w:hint="default"/>
                <w:sz w:val="24"/>
                <w:szCs w:val="22"/>
                <w:lang w:bidi="ar"/>
              </w:rPr>
              <w:t>,</w:t>
            </w:r>
            <w:r>
              <w:rPr>
                <w:rFonts w:hint="eastAsia" w:cs="宋体"/>
                <w:sz w:val="24"/>
                <w:szCs w:val="22"/>
                <w:lang w:bidi="ar"/>
              </w:rPr>
              <w:t>通道</w:t>
            </w:r>
            <w:r>
              <w:rPr>
                <w:rFonts w:hint="default"/>
                <w:sz w:val="24"/>
                <w:szCs w:val="22"/>
                <w:lang w:bidi="ar"/>
              </w:rPr>
              <w:t>1</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26</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EEV2-12V</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电子膨胀阀线圈公共端电源</w:t>
            </w:r>
            <w:r>
              <w:rPr>
                <w:rFonts w:hint="default"/>
                <w:sz w:val="24"/>
                <w:szCs w:val="22"/>
                <w:lang w:bidi="ar"/>
              </w:rPr>
              <w:t>12V+</w:t>
            </w:r>
          </w:p>
        </w:tc>
        <w:tc>
          <w:tcPr>
            <w:tcW w:w="2951"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第二路电子膨胀阀输出扩展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27</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A+</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28</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A-</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29</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B+</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30</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EEV2-B-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电子膨胀阀线圈</w:t>
            </w:r>
            <w:r>
              <w:rPr>
                <w:rFonts w:hint="default"/>
                <w:sz w:val="24"/>
                <w:szCs w:val="22"/>
                <w:lang w:bidi="ar"/>
              </w:rPr>
              <w:t>B-</w:t>
            </w:r>
            <w:r>
              <w:rPr>
                <w:rFonts w:hint="eastAsia" w:cs="宋体"/>
                <w:sz w:val="24"/>
                <w:szCs w:val="22"/>
                <w:lang w:bidi="ar"/>
              </w:rPr>
              <w:t>相</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31</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RS485_A</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cs="宋体"/>
                <w:sz w:val="24"/>
                <w:szCs w:val="22"/>
                <w:lang w:bidi="ar"/>
              </w:rPr>
              <w:t>通讯线</w:t>
            </w:r>
            <w:r>
              <w:rPr>
                <w:rFonts w:hint="default"/>
                <w:sz w:val="24"/>
                <w:szCs w:val="22"/>
                <w:lang w:bidi="ar"/>
              </w:rPr>
              <w:t>A,</w:t>
            </w:r>
            <w:r>
              <w:rPr>
                <w:rFonts w:hint="eastAsia" w:cs="宋体"/>
                <w:sz w:val="24"/>
                <w:szCs w:val="22"/>
                <w:lang w:bidi="ar"/>
              </w:rPr>
              <w:t>通道</w:t>
            </w:r>
            <w:r>
              <w:rPr>
                <w:rFonts w:hint="default"/>
                <w:sz w:val="24"/>
                <w:szCs w:val="22"/>
                <w:lang w:bidi="ar"/>
              </w:rPr>
              <w:t>1</w:t>
            </w:r>
          </w:p>
        </w:tc>
        <w:tc>
          <w:tcPr>
            <w:tcW w:w="2951" w:type="dxa"/>
            <w:vMerge w:val="restart"/>
            <w:vAlign w:val="center"/>
          </w:tcPr>
          <w:p>
            <w:pPr>
              <w:keepNext w:val="0"/>
              <w:keepLines w:val="0"/>
              <w:suppressLineNumbers w:val="0"/>
              <w:spacing w:before="0" w:beforeAutospacing="0" w:after="0" w:afterAutospacing="0" w:line="360" w:lineRule="auto"/>
              <w:ind w:left="0" w:right="0"/>
              <w:rPr>
                <w:rFonts w:hint="default"/>
                <w:sz w:val="24"/>
                <w:szCs w:val="22"/>
                <w:lang w:bidi="ar"/>
              </w:rPr>
            </w:pPr>
            <w:r>
              <w:rPr>
                <w:rFonts w:hint="default"/>
                <w:sz w:val="24"/>
                <w:szCs w:val="22"/>
                <w:lang w:bidi="ar"/>
              </w:rPr>
              <w:t>RS485</w:t>
            </w:r>
            <w:r>
              <w:rPr>
                <w:rFonts w:hint="eastAsia"/>
                <w:sz w:val="24"/>
                <w:szCs w:val="22"/>
                <w:lang w:bidi="ar"/>
              </w:rPr>
              <w:t>通讯接口</w:t>
            </w:r>
            <w:r>
              <w:rPr>
                <w:rFonts w:hint="default"/>
                <w:sz w:val="24"/>
                <w:szCs w:val="22"/>
                <w:lang w:bidi="ar"/>
              </w:rPr>
              <w:t>2</w:t>
            </w:r>
            <w:r>
              <w:rPr>
                <w:rFonts w:hint="eastAsia"/>
                <w:sz w:val="24"/>
                <w:szCs w:val="22"/>
                <w:lang w:bidi="ar"/>
              </w:rPr>
              <w:t>，两路对外</w:t>
            </w:r>
            <w:r>
              <w:rPr>
                <w:rFonts w:hint="default"/>
                <w:sz w:val="24"/>
                <w:szCs w:val="22"/>
                <w:lang w:bidi="ar"/>
              </w:rPr>
              <w:t>RS485</w:t>
            </w:r>
            <w:r>
              <w:rPr>
                <w:rFonts w:hint="eastAsia"/>
                <w:sz w:val="24"/>
                <w:szCs w:val="22"/>
                <w:lang w:bidi="ar"/>
              </w:rPr>
              <w:t>接线端子内部是短接</w:t>
            </w:r>
          </w:p>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32</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RS485_B</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cs="宋体"/>
                <w:sz w:val="24"/>
                <w:szCs w:val="22"/>
                <w:lang w:bidi="ar"/>
              </w:rPr>
              <w:t>通讯线</w:t>
            </w:r>
            <w:r>
              <w:rPr>
                <w:rFonts w:hint="default"/>
                <w:sz w:val="24"/>
                <w:szCs w:val="22"/>
                <w:lang w:bidi="ar"/>
              </w:rPr>
              <w:t>B,</w:t>
            </w:r>
            <w:r>
              <w:rPr>
                <w:rFonts w:hint="eastAsia" w:cs="宋体"/>
                <w:sz w:val="24"/>
                <w:szCs w:val="22"/>
                <w:lang w:bidi="ar"/>
              </w:rPr>
              <w:t>通道</w:t>
            </w:r>
            <w:r>
              <w:rPr>
                <w:rFonts w:hint="default"/>
                <w:sz w:val="24"/>
                <w:szCs w:val="22"/>
                <w:lang w:bidi="ar"/>
              </w:rPr>
              <w:t>1</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33</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GND_485</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cs="宋体"/>
                <w:sz w:val="24"/>
                <w:szCs w:val="22"/>
                <w:lang w:bidi="ar"/>
              </w:rPr>
              <w:t>地</w:t>
            </w:r>
            <w:r>
              <w:rPr>
                <w:rFonts w:hint="default"/>
                <w:sz w:val="24"/>
                <w:szCs w:val="22"/>
                <w:lang w:bidi="ar"/>
              </w:rPr>
              <w:t>,</w:t>
            </w:r>
            <w:r>
              <w:rPr>
                <w:rFonts w:hint="eastAsia" w:cs="宋体"/>
                <w:sz w:val="24"/>
                <w:szCs w:val="22"/>
                <w:lang w:bidi="ar"/>
              </w:rPr>
              <w:t>通道</w:t>
            </w:r>
            <w:r>
              <w:rPr>
                <w:rFonts w:hint="default"/>
                <w:sz w:val="24"/>
                <w:szCs w:val="22"/>
                <w:lang w:bidi="ar"/>
              </w:rPr>
              <w:t>1</w:t>
            </w:r>
          </w:p>
        </w:tc>
        <w:tc>
          <w:tcPr>
            <w:tcW w:w="2951"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34</w:t>
            </w:r>
          </w:p>
        </w:tc>
        <w:tc>
          <w:tcPr>
            <w:tcW w:w="209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78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51" w:type="dxa"/>
            <w:vMerge w:val="continue"/>
            <w:vAlign w:val="bottom"/>
          </w:tcPr>
          <w:p>
            <w:pPr>
              <w:keepNext w:val="0"/>
              <w:keepLines w:val="0"/>
              <w:suppressLineNumbers w:val="0"/>
              <w:spacing w:before="0" w:beforeAutospacing="0" w:after="0" w:afterAutospacing="0" w:line="360" w:lineRule="auto"/>
              <w:ind w:left="0" w:right="0"/>
              <w:rPr>
                <w:rFonts w:hint="default"/>
                <w:sz w:val="24"/>
                <w:szCs w:val="20"/>
              </w:rPr>
            </w:pPr>
          </w:p>
        </w:tc>
      </w:tr>
    </w:tbl>
    <w:p>
      <w:pPr>
        <w:spacing w:line="360" w:lineRule="auto"/>
        <w:rPr>
          <w:sz w:val="24"/>
        </w:rPr>
      </w:pPr>
    </w:p>
    <w:p>
      <w:pPr>
        <w:pStyle w:val="16"/>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12</w:t>
      </w:r>
      <w:r>
        <w:fldChar w:fldCharType="end"/>
      </w:r>
      <w:r>
        <w:rPr>
          <w:rFonts w:hint="eastAsia"/>
        </w:rPr>
        <w:t xml:space="preserve"> </w:t>
      </w:r>
      <w:r>
        <w:rPr>
          <w:rFonts w:hint="eastAsia"/>
          <w:lang w:eastAsia="zh-CN"/>
        </w:rPr>
        <w:t>XS2</w:t>
      </w:r>
    </w:p>
    <w:tbl>
      <w:tblPr>
        <w:tblStyle w:val="60"/>
        <w:tblW w:w="97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105"/>
        <w:gridCol w:w="3802"/>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序号</w:t>
            </w:r>
          </w:p>
        </w:tc>
        <w:tc>
          <w:tcPr>
            <w:tcW w:w="2105"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定义</w:t>
            </w:r>
          </w:p>
        </w:tc>
        <w:tc>
          <w:tcPr>
            <w:tcW w:w="3802"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功能</w:t>
            </w:r>
            <w:r>
              <w:rPr>
                <w:rFonts w:hint="default"/>
                <w:sz w:val="24"/>
                <w:szCs w:val="20"/>
              </w:rPr>
              <w:t>描述</w:t>
            </w:r>
          </w:p>
        </w:tc>
        <w:tc>
          <w:tcPr>
            <w:tcW w:w="2918"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AV1+</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0-10V输入+，通道1</w:t>
            </w:r>
          </w:p>
        </w:tc>
        <w:tc>
          <w:tcPr>
            <w:tcW w:w="2918"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第1路0~10V输入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AV1-</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0-10V输入-，通道1</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VSS_PE</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保护地</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4</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w:t>
            </w:r>
          </w:p>
        </w:tc>
        <w:tc>
          <w:tcPr>
            <w:tcW w:w="2918" w:type="dxa"/>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5</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ADD-SS</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cs="宋体"/>
                <w:sz w:val="24"/>
                <w:szCs w:val="22"/>
                <w:lang w:bidi="ar"/>
              </w:rPr>
              <w:t>编制输入负</w:t>
            </w:r>
          </w:p>
        </w:tc>
        <w:tc>
          <w:tcPr>
            <w:tcW w:w="2918"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color w:val="FF0000"/>
                <w:sz w:val="24"/>
                <w:szCs w:val="22"/>
                <w:lang w:bidi="ar"/>
              </w:rPr>
              <w:t>地址线识别，</w:t>
            </w:r>
            <w:r>
              <w:rPr>
                <w:rFonts w:hint="default"/>
                <w:color w:val="FF0000"/>
                <w:sz w:val="24"/>
                <w:szCs w:val="22"/>
                <w:lang w:bidi="ar"/>
              </w:rPr>
              <w:t>1</w:t>
            </w:r>
            <w:r>
              <w:rPr>
                <w:rFonts w:hint="eastAsia"/>
                <w:color w:val="FF0000"/>
                <w:sz w:val="24"/>
                <w:szCs w:val="22"/>
                <w:lang w:bidi="ar"/>
              </w:rPr>
              <w:t>、短接后内部识别高；</w:t>
            </w:r>
            <w:r>
              <w:rPr>
                <w:rFonts w:hint="default"/>
                <w:color w:val="FF0000"/>
                <w:sz w:val="24"/>
                <w:szCs w:val="22"/>
                <w:lang w:bidi="ar"/>
              </w:rPr>
              <w:t>2</w:t>
            </w:r>
            <w:r>
              <w:rPr>
                <w:rFonts w:hint="eastAsia"/>
                <w:color w:val="FF0000"/>
                <w:sz w:val="24"/>
                <w:szCs w:val="22"/>
                <w:lang w:bidi="ar"/>
              </w:rPr>
              <w:t>、不短接内部识别低；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6</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ADD-IN</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RS485</w:t>
            </w:r>
            <w:r>
              <w:rPr>
                <w:rFonts w:hint="eastAsia" w:cs="宋体"/>
                <w:sz w:val="24"/>
                <w:szCs w:val="22"/>
                <w:lang w:bidi="ar"/>
              </w:rPr>
              <w:t>编制输入正</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7</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CHSIS-GND</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接大地</w:t>
            </w:r>
            <w:r>
              <w:rPr>
                <w:rFonts w:hint="default"/>
                <w:sz w:val="24"/>
                <w:szCs w:val="22"/>
                <w:lang w:bidi="ar"/>
              </w:rPr>
              <w:t>PE</w:t>
            </w:r>
          </w:p>
        </w:tc>
        <w:tc>
          <w:tcPr>
            <w:tcW w:w="2918"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保护地，不小于</w:t>
            </w:r>
            <w:r>
              <w:rPr>
                <w:rFonts w:hint="default"/>
                <w:sz w:val="24"/>
                <w:szCs w:val="22"/>
                <w:lang w:bidi="ar"/>
              </w:rPr>
              <w:t>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8</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AV3+</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0-10V输入+，通道3</w:t>
            </w:r>
          </w:p>
        </w:tc>
        <w:tc>
          <w:tcPr>
            <w:tcW w:w="2918"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第3路0~10V输入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9</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AV3-</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0-10V输入-，通道3</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10</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VSS_PE</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保护地</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11</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CAN_120_1</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 120电阻</w:t>
            </w:r>
          </w:p>
        </w:tc>
        <w:tc>
          <w:tcPr>
            <w:tcW w:w="2918"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CAN</w:t>
            </w:r>
            <w:r>
              <w:rPr>
                <w:rFonts w:hint="eastAsia" w:cs="宋体"/>
                <w:sz w:val="24"/>
                <w:szCs w:val="22"/>
                <w:lang w:bidi="ar"/>
              </w:rPr>
              <w:t>终端电阻跳线：</w:t>
            </w:r>
            <w:r>
              <w:rPr>
                <w:rFonts w:hint="default"/>
                <w:sz w:val="24"/>
                <w:szCs w:val="22"/>
                <w:lang w:bidi="ar"/>
              </w:rPr>
              <w:t>1</w:t>
            </w:r>
            <w:r>
              <w:rPr>
                <w:rFonts w:hint="eastAsia" w:cs="宋体"/>
                <w:sz w:val="24"/>
                <w:szCs w:val="22"/>
                <w:lang w:bidi="ar"/>
              </w:rPr>
              <w:t>、短接时接入</w:t>
            </w:r>
            <w:r>
              <w:rPr>
                <w:rFonts w:hint="default"/>
                <w:sz w:val="24"/>
                <w:szCs w:val="22"/>
                <w:lang w:bidi="ar"/>
              </w:rPr>
              <w:t>R120</w:t>
            </w:r>
            <w:r>
              <w:rPr>
                <w:rFonts w:hint="eastAsia" w:cs="宋体"/>
                <w:sz w:val="24"/>
                <w:szCs w:val="22"/>
                <w:lang w:bidi="ar"/>
              </w:rPr>
              <w:t>电阻；</w:t>
            </w:r>
            <w:r>
              <w:rPr>
                <w:rFonts w:hint="default"/>
                <w:sz w:val="24"/>
                <w:szCs w:val="22"/>
                <w:lang w:bidi="ar"/>
              </w:rPr>
              <w:t>2</w:t>
            </w:r>
            <w:r>
              <w:rPr>
                <w:rFonts w:hint="eastAsia" w:cs="宋体"/>
                <w:sz w:val="24"/>
                <w:szCs w:val="22"/>
                <w:lang w:bidi="ar"/>
              </w:rPr>
              <w:t>、不短接时不接入电阻；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12</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CAN_120_2</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 120电阻</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13</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VSS_PE</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保护地</w:t>
            </w:r>
          </w:p>
        </w:tc>
        <w:tc>
          <w:tcPr>
            <w:tcW w:w="2918"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CAN</w:t>
            </w:r>
            <w:r>
              <w:rPr>
                <w:rFonts w:hint="eastAsia"/>
                <w:sz w:val="24"/>
                <w:szCs w:val="22"/>
                <w:lang w:bidi="ar"/>
              </w:rPr>
              <w:t>通讯接口</w:t>
            </w:r>
            <w:r>
              <w:rPr>
                <w:rFonts w:hint="default"/>
                <w:sz w:val="24"/>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14</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AV2+</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0-10V</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2</w:t>
            </w:r>
          </w:p>
        </w:tc>
        <w:tc>
          <w:tcPr>
            <w:tcW w:w="2918"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第2路0~10V输入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15</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AV2-</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0-10V</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2</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16</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17</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CAN_H</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CAN信号正</w:t>
            </w:r>
          </w:p>
        </w:tc>
        <w:tc>
          <w:tcPr>
            <w:tcW w:w="2918"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CAN</w:t>
            </w:r>
            <w:r>
              <w:rPr>
                <w:rFonts w:hint="eastAsia"/>
                <w:sz w:val="24"/>
                <w:szCs w:val="22"/>
                <w:lang w:bidi="ar"/>
              </w:rPr>
              <w:t>通讯接口</w:t>
            </w:r>
            <w:r>
              <w:rPr>
                <w:rFonts w:hint="default"/>
                <w:sz w:val="24"/>
                <w:szCs w:val="22"/>
                <w:lang w:bidi="ar"/>
              </w:rPr>
              <w:t>1</w:t>
            </w:r>
            <w:r>
              <w:rPr>
                <w:rFonts w:hint="eastAsia"/>
                <w:sz w:val="24"/>
                <w:szCs w:val="22"/>
                <w:lang w:bidi="ar"/>
              </w:rPr>
              <w:t>，两路对外</w:t>
            </w:r>
            <w:r>
              <w:rPr>
                <w:rFonts w:hint="default"/>
                <w:sz w:val="24"/>
                <w:szCs w:val="22"/>
                <w:lang w:bidi="ar"/>
              </w:rPr>
              <w:t>CAN</w:t>
            </w:r>
            <w:r>
              <w:rPr>
                <w:rFonts w:hint="eastAsia"/>
                <w:sz w:val="24"/>
                <w:szCs w:val="22"/>
                <w:lang w:bidi="ar"/>
              </w:rPr>
              <w:t>接线端子内部是短接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18</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CAN_L</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CAN信号负</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19</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GND_CAN</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CAN信号地</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20</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AV4+</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0-10V</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4</w:t>
            </w:r>
          </w:p>
        </w:tc>
        <w:tc>
          <w:tcPr>
            <w:tcW w:w="2918"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第4路0~10V输入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21</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AV4-</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0-10V</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4</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22</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18"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23</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CAN_H</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CAN信号正</w:t>
            </w:r>
          </w:p>
        </w:tc>
        <w:tc>
          <w:tcPr>
            <w:tcW w:w="2918"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CAN通讯接口2，两路对外CAN接线端子内部是短接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24</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CAN_L</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CAN信号负</w:t>
            </w:r>
          </w:p>
        </w:tc>
        <w:tc>
          <w:tcPr>
            <w:tcW w:w="2918"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bookmarkStart w:id="154" w:name="_Toc81056250"/>
            <w:bookmarkStart w:id="155" w:name="_Toc82613653"/>
            <w:r>
              <w:rPr>
                <w:rFonts w:hint="eastAsia"/>
                <w:sz w:val="24"/>
                <w:szCs w:val="20"/>
              </w:rPr>
              <w:t>25</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GND_CAN</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CAN信号地</w:t>
            </w:r>
          </w:p>
        </w:tc>
        <w:tc>
          <w:tcPr>
            <w:tcW w:w="2918" w:type="dxa"/>
            <w:vMerge w:val="continue"/>
            <w:vAlign w:val="center"/>
          </w:tcPr>
          <w:p>
            <w:pPr>
              <w:keepNext w:val="0"/>
              <w:keepLines w:val="0"/>
              <w:suppressLineNumbers w:val="0"/>
              <w:spacing w:before="0" w:beforeAutospacing="0" w:after="0" w:afterAutospacing="0"/>
              <w:ind w:left="0" w:right="0"/>
              <w:jc w:val="center"/>
              <w:rPr>
                <w:rFonts w:hint="default" w:cs="Calibri"/>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26</w:t>
            </w:r>
          </w:p>
        </w:tc>
        <w:tc>
          <w:tcPr>
            <w:tcW w:w="2105"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VSS_PE</w:t>
            </w:r>
          </w:p>
        </w:tc>
        <w:tc>
          <w:tcPr>
            <w:tcW w:w="3802"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保护地</w:t>
            </w:r>
          </w:p>
        </w:tc>
        <w:tc>
          <w:tcPr>
            <w:tcW w:w="2918" w:type="dxa"/>
            <w:vMerge w:val="continue"/>
            <w:vAlign w:val="center"/>
          </w:tcPr>
          <w:p>
            <w:pPr>
              <w:keepNext w:val="0"/>
              <w:keepLines w:val="0"/>
              <w:suppressLineNumbers w:val="0"/>
              <w:spacing w:before="0" w:beforeAutospacing="0" w:after="0" w:afterAutospacing="0"/>
              <w:ind w:left="0" w:right="0"/>
              <w:jc w:val="center"/>
              <w:rPr>
                <w:rFonts w:hint="default" w:cs="Calibri"/>
                <w:kern w:val="0"/>
                <w:szCs w:val="21"/>
              </w:rPr>
            </w:pPr>
          </w:p>
        </w:tc>
      </w:tr>
      <w:bookmarkEnd w:id="154"/>
      <w:bookmarkEnd w:id="155"/>
    </w:tbl>
    <w:p>
      <w:pPr>
        <w:spacing w:line="360" w:lineRule="auto"/>
        <w:jc w:val="center"/>
      </w:pPr>
    </w:p>
    <w:p>
      <w:pPr>
        <w:pStyle w:val="16"/>
        <w:jc w:val="cente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13</w:t>
      </w:r>
      <w:r>
        <w:fldChar w:fldCharType="end"/>
      </w:r>
      <w:r>
        <w:rPr>
          <w:rFonts w:hint="eastAsia"/>
        </w:rPr>
        <w:t xml:space="preserve"> </w:t>
      </w:r>
      <w:r>
        <w:rPr>
          <w:rFonts w:hint="eastAsia"/>
          <w:lang w:eastAsia="zh-CN"/>
        </w:rPr>
        <w:t>XS3</w:t>
      </w:r>
    </w:p>
    <w:tbl>
      <w:tblPr>
        <w:tblStyle w:val="60"/>
        <w:tblW w:w="97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097"/>
        <w:gridCol w:w="3824"/>
        <w:gridCol w:w="2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序号</w:t>
            </w:r>
          </w:p>
        </w:tc>
        <w:tc>
          <w:tcPr>
            <w:tcW w:w="2097"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定义</w:t>
            </w:r>
          </w:p>
        </w:tc>
        <w:tc>
          <w:tcPr>
            <w:tcW w:w="3824"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功能</w:t>
            </w:r>
            <w:r>
              <w:rPr>
                <w:rFonts w:hint="default"/>
                <w:sz w:val="24"/>
                <w:szCs w:val="20"/>
              </w:rPr>
              <w:t>描述</w:t>
            </w:r>
          </w:p>
        </w:tc>
        <w:tc>
          <w:tcPr>
            <w:tcW w:w="2904"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w:t>
            </w:r>
            <w:r>
              <w:rPr>
                <w:rFonts w:hint="default"/>
                <w:sz w:val="24"/>
                <w:szCs w:val="22"/>
                <w:lang w:bidi="ar"/>
              </w:rPr>
              <w:t>1</w:t>
            </w:r>
            <w:r>
              <w:rPr>
                <w:rFonts w:hint="eastAsia"/>
                <w:sz w:val="24"/>
                <w:szCs w:val="22"/>
                <w:lang w:bidi="ar"/>
              </w:rPr>
              <w:t>路</w:t>
            </w:r>
            <w:r>
              <w:rPr>
                <w:rFonts w:hint="default"/>
                <w:sz w:val="24"/>
                <w:szCs w:val="22"/>
                <w:lang w:bidi="ar"/>
              </w:rPr>
              <w:t>NTC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NTC1+</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1</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NTC1-</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1</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第2路</w:t>
            </w:r>
            <w:r>
              <w:rPr>
                <w:rFonts w:hint="default"/>
                <w:sz w:val="24"/>
                <w:szCs w:val="22"/>
                <w:lang w:bidi="ar"/>
              </w:rPr>
              <w:t>NTC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NTC2+</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2</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NTC2-</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2</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7</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ind w:left="0" w:right="0"/>
              <w:jc w:val="left"/>
              <w:rPr>
                <w:rFonts w:hint="default"/>
                <w:sz w:val="24"/>
                <w:szCs w:val="20"/>
              </w:rPr>
            </w:pPr>
            <w:r>
              <w:rPr>
                <w:rFonts w:hint="eastAsia"/>
                <w:sz w:val="24"/>
                <w:szCs w:val="22"/>
                <w:lang w:bidi="ar"/>
              </w:rPr>
              <w:t>第3路</w:t>
            </w:r>
            <w:r>
              <w:rPr>
                <w:rFonts w:hint="default"/>
                <w:sz w:val="24"/>
                <w:szCs w:val="22"/>
                <w:lang w:bidi="ar"/>
              </w:rPr>
              <w:t>NTC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8</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NTC3+</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3</w:t>
            </w:r>
          </w:p>
        </w:tc>
        <w:tc>
          <w:tcPr>
            <w:tcW w:w="2904"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9</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NTC3-</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3</w:t>
            </w:r>
          </w:p>
        </w:tc>
        <w:tc>
          <w:tcPr>
            <w:tcW w:w="2904"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10</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ind w:left="0" w:right="0"/>
              <w:rPr>
                <w:rFonts w:hint="default" w:ascii="宋体" w:cs="宋体"/>
                <w:kern w:val="0"/>
                <w:szCs w:val="21"/>
              </w:rPr>
            </w:pPr>
            <w:r>
              <w:rPr>
                <w:rFonts w:hint="eastAsia"/>
                <w:sz w:val="24"/>
                <w:szCs w:val="22"/>
                <w:lang w:bidi="ar"/>
              </w:rPr>
              <w:t>第4路</w:t>
            </w:r>
            <w:r>
              <w:rPr>
                <w:rFonts w:hint="default"/>
                <w:sz w:val="24"/>
                <w:szCs w:val="22"/>
                <w:lang w:bidi="ar"/>
              </w:rPr>
              <w:t>NTC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NTC4+</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4</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NTC4-</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4</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第5路</w:t>
            </w:r>
            <w:r>
              <w:rPr>
                <w:rFonts w:hint="default"/>
                <w:sz w:val="24"/>
                <w:szCs w:val="22"/>
                <w:lang w:bidi="ar"/>
              </w:rPr>
              <w:t>NTC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NTC5+</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5</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NTC5-</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5</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第6路</w:t>
            </w:r>
            <w:r>
              <w:rPr>
                <w:rFonts w:hint="default"/>
                <w:sz w:val="24"/>
                <w:szCs w:val="22"/>
                <w:lang w:bidi="ar"/>
              </w:rPr>
              <w:t>NTC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17</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NTC6+</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6</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18</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第3路</w:t>
            </w:r>
            <w:r>
              <w:rPr>
                <w:rFonts w:hint="default"/>
                <w:sz w:val="24"/>
                <w:szCs w:val="22"/>
                <w:lang w:bidi="ar"/>
              </w:rPr>
              <w:t>4~20mA</w:t>
            </w:r>
            <w:r>
              <w:rPr>
                <w:rFonts w:hint="eastAsia"/>
                <w:sz w:val="24"/>
                <w:szCs w:val="22"/>
                <w:lang w:bidi="ar"/>
              </w:rPr>
              <w:t>保护地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19</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w:t>
            </w:r>
            <w:r>
              <w:rPr>
                <w:rFonts w:hint="default"/>
                <w:sz w:val="24"/>
                <w:szCs w:val="22"/>
                <w:lang w:bidi="ar"/>
              </w:rPr>
              <w:t>1</w:t>
            </w:r>
            <w:r>
              <w:rPr>
                <w:rFonts w:hint="eastAsia"/>
                <w:sz w:val="24"/>
                <w:szCs w:val="22"/>
                <w:lang w:bidi="ar"/>
              </w:rPr>
              <w:t>路</w:t>
            </w:r>
            <w:r>
              <w:rPr>
                <w:rFonts w:hint="default"/>
                <w:sz w:val="24"/>
                <w:szCs w:val="22"/>
                <w:lang w:bidi="ar"/>
              </w:rPr>
              <w:t>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20</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AI1+</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1</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AI1-</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1</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第2路</w:t>
            </w:r>
            <w:r>
              <w:rPr>
                <w:rFonts w:hint="default"/>
                <w:sz w:val="24"/>
                <w:szCs w:val="22"/>
                <w:lang w:bidi="ar"/>
              </w:rPr>
              <w:t>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AI2+</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2</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AI2-</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2</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NTC6-</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NTC</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6</w:t>
            </w:r>
          </w:p>
        </w:tc>
        <w:tc>
          <w:tcPr>
            <w:tcW w:w="2904"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第6路</w:t>
            </w:r>
            <w:r>
              <w:rPr>
                <w:rFonts w:hint="default"/>
                <w:sz w:val="24"/>
                <w:szCs w:val="22"/>
                <w:lang w:bidi="ar"/>
              </w:rPr>
              <w:t>NTC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AI3+</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3</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第3路</w:t>
            </w:r>
            <w:r>
              <w:rPr>
                <w:rFonts w:hint="default"/>
                <w:sz w:val="24"/>
                <w:szCs w:val="22"/>
                <w:lang w:bidi="ar"/>
              </w:rPr>
              <w:t>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27</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AI3-</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3</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28</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第4路</w:t>
            </w:r>
            <w:r>
              <w:rPr>
                <w:rFonts w:hint="default"/>
                <w:sz w:val="24"/>
                <w:szCs w:val="22"/>
                <w:lang w:bidi="ar"/>
              </w:rPr>
              <w:t>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29</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AI4+</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4</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30</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AI4-</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4</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VSS_PE</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宋体"/>
                <w:sz w:val="24"/>
                <w:szCs w:val="22"/>
                <w:lang w:bidi="ar"/>
              </w:rPr>
              <w:t>保护地</w:t>
            </w:r>
          </w:p>
        </w:tc>
        <w:tc>
          <w:tcPr>
            <w:tcW w:w="2904"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2"/>
                <w:lang w:bidi="ar"/>
              </w:rPr>
              <w:t>第5路</w:t>
            </w:r>
            <w:r>
              <w:rPr>
                <w:rFonts w:hint="default"/>
                <w:sz w:val="24"/>
                <w:szCs w:val="22"/>
                <w:lang w:bidi="ar"/>
              </w:rPr>
              <w:t>4~20mA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AI5+</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5</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AI5-</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4-20mA</w:t>
            </w:r>
            <w:r>
              <w:rPr>
                <w:rFonts w:hint="eastAsia" w:cs="宋体"/>
                <w:sz w:val="24"/>
                <w:szCs w:val="22"/>
                <w:lang w:bidi="ar"/>
              </w:rPr>
              <w:t>输入</w:t>
            </w:r>
            <w:r>
              <w:rPr>
                <w:rFonts w:hint="default"/>
                <w:sz w:val="24"/>
                <w:szCs w:val="22"/>
                <w:lang w:bidi="ar"/>
              </w:rPr>
              <w:t>-</w:t>
            </w:r>
            <w:r>
              <w:rPr>
                <w:rFonts w:hint="eastAsia" w:cs="宋体"/>
                <w:sz w:val="24"/>
                <w:szCs w:val="22"/>
                <w:lang w:bidi="ar"/>
              </w:rPr>
              <w:t>，通道</w:t>
            </w:r>
            <w:r>
              <w:rPr>
                <w:rFonts w:hint="default"/>
                <w:sz w:val="24"/>
                <w:szCs w:val="22"/>
                <w:lang w:bidi="ar"/>
              </w:rPr>
              <w:t>5</w:t>
            </w:r>
          </w:p>
        </w:tc>
        <w:tc>
          <w:tcPr>
            <w:tcW w:w="2904"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w:t>
            </w:r>
          </w:p>
        </w:tc>
        <w:tc>
          <w:tcPr>
            <w:tcW w:w="3824"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w:t>
            </w:r>
          </w:p>
        </w:tc>
        <w:tc>
          <w:tcPr>
            <w:tcW w:w="2904" w:type="dxa"/>
            <w:vAlign w:val="center"/>
          </w:tcPr>
          <w:p>
            <w:pPr>
              <w:keepNext w:val="0"/>
              <w:keepLines w:val="0"/>
              <w:suppressLineNumbers w:val="0"/>
              <w:spacing w:before="0" w:beforeAutospacing="0" w:after="0" w:afterAutospacing="0"/>
              <w:ind w:left="0" w:right="0"/>
              <w:jc w:val="center"/>
              <w:rPr>
                <w:rFonts w:hint="default"/>
                <w:szCs w:val="20"/>
              </w:rPr>
            </w:pPr>
          </w:p>
        </w:tc>
      </w:tr>
    </w:tbl>
    <w:p>
      <w:pPr>
        <w:spacing w:line="360" w:lineRule="auto"/>
        <w:rPr>
          <w:sz w:val="24"/>
        </w:rPr>
      </w:pPr>
    </w:p>
    <w:p>
      <w:pPr>
        <w:pStyle w:val="16"/>
        <w:jc w:val="center"/>
        <w:rPr>
          <w:sz w:val="24"/>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14</w:t>
      </w:r>
      <w:r>
        <w:fldChar w:fldCharType="end"/>
      </w:r>
      <w:r>
        <w:rPr>
          <w:rFonts w:hint="eastAsia"/>
        </w:rPr>
        <w:t xml:space="preserve"> </w:t>
      </w:r>
      <w:r>
        <w:rPr>
          <w:rFonts w:hint="eastAsia"/>
          <w:lang w:eastAsia="zh-CN"/>
        </w:rPr>
        <w:t>XS4</w:t>
      </w:r>
    </w:p>
    <w:tbl>
      <w:tblPr>
        <w:tblStyle w:val="60"/>
        <w:tblW w:w="9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097"/>
        <w:gridCol w:w="3853"/>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序号</w:t>
            </w:r>
          </w:p>
        </w:tc>
        <w:tc>
          <w:tcPr>
            <w:tcW w:w="2097"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定义</w:t>
            </w:r>
          </w:p>
        </w:tc>
        <w:tc>
          <w:tcPr>
            <w:tcW w:w="3853"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功能</w:t>
            </w:r>
            <w:r>
              <w:rPr>
                <w:rFonts w:hint="default"/>
                <w:sz w:val="24"/>
                <w:szCs w:val="20"/>
              </w:rPr>
              <w:t>描述</w:t>
            </w:r>
          </w:p>
        </w:tc>
        <w:tc>
          <w:tcPr>
            <w:tcW w:w="2867"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DO_COM1-</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Calibri"/>
                <w:kern w:val="0"/>
                <w:szCs w:val="21"/>
              </w:rPr>
              <w:t>DC110V-或DC24V-，续流二极管公共端，续流二极管对端DO1-DO4</w:t>
            </w:r>
          </w:p>
        </w:tc>
        <w:tc>
          <w:tcPr>
            <w:tcW w:w="2867"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第一组数字量输出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DO_COM1+</w:t>
            </w:r>
          </w:p>
        </w:tc>
        <w:tc>
          <w:tcPr>
            <w:tcW w:w="3853" w:type="dxa"/>
            <w:vAlign w:val="bottom"/>
          </w:tcPr>
          <w:p>
            <w:pPr>
              <w:keepNext w:val="0"/>
              <w:keepLines w:val="0"/>
              <w:suppressLineNumbers w:val="0"/>
              <w:spacing w:before="0" w:beforeAutospacing="0" w:after="0" w:afterAutospacing="0" w:line="360" w:lineRule="auto"/>
              <w:ind w:left="0" w:right="0"/>
              <w:rPr>
                <w:rFonts w:hint="default" w:cs="Calibri"/>
                <w:kern w:val="0"/>
                <w:szCs w:val="21"/>
              </w:rPr>
            </w:pPr>
            <w:r>
              <w:rPr>
                <w:rFonts w:hint="eastAsia" w:cs="Calibri"/>
                <w:kern w:val="0"/>
                <w:szCs w:val="21"/>
              </w:rPr>
              <w:t>DC24V+/DC110V+，DO1-DO4公共端，</w:t>
            </w:r>
          </w:p>
          <w:p>
            <w:pPr>
              <w:keepNext w:val="0"/>
              <w:keepLines w:val="0"/>
              <w:suppressLineNumbers w:val="0"/>
              <w:spacing w:before="0" w:beforeAutospacing="0" w:after="0" w:afterAutospacing="0" w:line="360" w:lineRule="auto"/>
              <w:ind w:left="0" w:right="0"/>
              <w:rPr>
                <w:rFonts w:hint="default"/>
                <w:sz w:val="24"/>
                <w:szCs w:val="20"/>
              </w:rPr>
            </w:pPr>
            <w:r>
              <w:rPr>
                <w:rFonts w:hint="default" w:cs="Calibri"/>
                <w:kern w:val="0"/>
                <w:szCs w:val="21"/>
              </w:rPr>
              <w:t>DC24V(</w:t>
            </w:r>
            <w:r>
              <w:rPr>
                <w:rFonts w:hint="eastAsia" w:cs="Calibri"/>
                <w:kern w:val="0"/>
                <w:szCs w:val="21"/>
              </w:rPr>
              <w:t>4</w:t>
            </w:r>
            <w:r>
              <w:rPr>
                <w:rFonts w:hint="default" w:cs="Calibri"/>
                <w:kern w:val="0"/>
                <w:szCs w:val="21"/>
              </w:rPr>
              <w:t>A)和DC110V(</w:t>
            </w:r>
            <w:r>
              <w:rPr>
                <w:rFonts w:hint="eastAsia" w:cs="Calibri"/>
                <w:kern w:val="0"/>
                <w:szCs w:val="21"/>
              </w:rPr>
              <w:t>0.8</w:t>
            </w:r>
            <w:r>
              <w:rPr>
                <w:rFonts w:hint="default" w:cs="Calibri"/>
                <w:kern w:val="0"/>
                <w:szCs w:val="21"/>
              </w:rPr>
              <w:t>A)</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DO1</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DO通道1</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DO2</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DO通道2</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DO3</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DO通道3</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DO4</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DO通道4</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7</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DO_COM2-</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Calibri"/>
                <w:kern w:val="0"/>
                <w:szCs w:val="21"/>
              </w:rPr>
              <w:t>DC110V-或DC24V-，续流二极管公共端，续流二极管对端DO5-DO8</w:t>
            </w:r>
          </w:p>
        </w:tc>
        <w:tc>
          <w:tcPr>
            <w:tcW w:w="2867" w:type="dxa"/>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第二组数字量输出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8</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DO_COM3</w:t>
            </w:r>
            <w:r>
              <w:rPr>
                <w:rFonts w:hint="eastAsia"/>
                <w:sz w:val="24"/>
                <w:szCs w:val="22"/>
                <w:lang w:bidi="ar"/>
              </w:rPr>
              <w:t>-</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cs="Calibri"/>
                <w:kern w:val="0"/>
                <w:szCs w:val="21"/>
              </w:rPr>
              <w:t>DC110V-或DC24V-，续流二极管公共端，续流二极管对端DO9-DO12</w:t>
            </w:r>
          </w:p>
        </w:tc>
        <w:tc>
          <w:tcPr>
            <w:tcW w:w="2867" w:type="dxa"/>
            <w:vAlign w:val="center"/>
          </w:tcPr>
          <w:p>
            <w:pPr>
              <w:keepNext w:val="0"/>
              <w:keepLines w:val="0"/>
              <w:suppressLineNumbers w:val="0"/>
              <w:spacing w:before="0" w:beforeAutospacing="0" w:after="0" w:afterAutospacing="0"/>
              <w:ind w:left="0" w:right="0"/>
              <w:jc w:val="left"/>
              <w:rPr>
                <w:rFonts w:hint="default"/>
                <w:sz w:val="24"/>
                <w:szCs w:val="20"/>
              </w:rPr>
            </w:pPr>
            <w:r>
              <w:rPr>
                <w:rFonts w:hint="eastAsia"/>
                <w:sz w:val="24"/>
                <w:szCs w:val="20"/>
              </w:rPr>
              <w:t>第三组数字量输出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9</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DO5</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DO通道5</w:t>
            </w:r>
          </w:p>
        </w:tc>
        <w:tc>
          <w:tcPr>
            <w:tcW w:w="2867"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第二组数字量输出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10</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DO6</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DO通道6</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DO7</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DO通道7</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DO8</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DO通道8</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DO_COM2+</w:t>
            </w:r>
          </w:p>
        </w:tc>
        <w:tc>
          <w:tcPr>
            <w:tcW w:w="3853" w:type="dxa"/>
            <w:vAlign w:val="bottom"/>
          </w:tcPr>
          <w:p>
            <w:pPr>
              <w:keepNext w:val="0"/>
              <w:keepLines w:val="0"/>
              <w:suppressLineNumbers w:val="0"/>
              <w:spacing w:before="0" w:beforeAutospacing="0" w:after="0" w:afterAutospacing="0" w:line="360" w:lineRule="auto"/>
              <w:ind w:left="0" w:right="0"/>
              <w:rPr>
                <w:rFonts w:hint="default" w:cs="Calibri"/>
                <w:kern w:val="0"/>
                <w:szCs w:val="21"/>
              </w:rPr>
            </w:pPr>
            <w:r>
              <w:rPr>
                <w:rFonts w:hint="default" w:cs="Calibri"/>
                <w:kern w:val="0"/>
                <w:sz w:val="21"/>
                <w:szCs w:val="21"/>
                <w:lang w:bidi="ar"/>
              </w:rPr>
              <w:t>DC24V+/DC110V+</w:t>
            </w:r>
            <w:r>
              <w:rPr>
                <w:rFonts w:hint="eastAsia" w:cs="Calibri"/>
                <w:kern w:val="0"/>
                <w:sz w:val="21"/>
                <w:szCs w:val="21"/>
                <w:lang w:bidi="ar"/>
              </w:rPr>
              <w:t>，</w:t>
            </w:r>
            <w:r>
              <w:rPr>
                <w:rFonts w:hint="default" w:cs="Calibri"/>
                <w:kern w:val="0"/>
                <w:sz w:val="21"/>
                <w:szCs w:val="21"/>
                <w:lang w:bidi="ar"/>
              </w:rPr>
              <w:t>DO5-DO8</w:t>
            </w:r>
            <w:r>
              <w:rPr>
                <w:rFonts w:hint="eastAsia" w:cs="Calibri"/>
                <w:kern w:val="0"/>
                <w:sz w:val="21"/>
                <w:szCs w:val="21"/>
                <w:lang w:bidi="ar"/>
              </w:rPr>
              <w:t>公共端，</w:t>
            </w:r>
          </w:p>
          <w:p>
            <w:pPr>
              <w:keepNext w:val="0"/>
              <w:keepLines w:val="0"/>
              <w:suppressLineNumbers w:val="0"/>
              <w:spacing w:before="0" w:beforeAutospacing="0" w:after="0" w:afterAutospacing="0" w:line="360" w:lineRule="auto"/>
              <w:ind w:left="0" w:right="0"/>
              <w:rPr>
                <w:rFonts w:hint="default"/>
                <w:sz w:val="24"/>
                <w:szCs w:val="20"/>
              </w:rPr>
            </w:pPr>
            <w:r>
              <w:rPr>
                <w:rFonts w:hint="default" w:cs="Calibri"/>
                <w:kern w:val="0"/>
                <w:sz w:val="21"/>
                <w:szCs w:val="21"/>
                <w:lang w:bidi="ar"/>
              </w:rPr>
              <w:t>DC24V(4A)</w:t>
            </w:r>
            <w:r>
              <w:rPr>
                <w:rFonts w:hint="eastAsia" w:cs="Calibri"/>
                <w:kern w:val="0"/>
                <w:sz w:val="21"/>
                <w:szCs w:val="21"/>
                <w:lang w:bidi="ar"/>
              </w:rPr>
              <w:t>和</w:t>
            </w:r>
            <w:r>
              <w:rPr>
                <w:rFonts w:hint="default" w:cs="Calibri"/>
                <w:kern w:val="0"/>
                <w:sz w:val="21"/>
                <w:szCs w:val="21"/>
                <w:lang w:bidi="ar"/>
              </w:rPr>
              <w:t>DC110V(0.8A)</w:t>
            </w:r>
          </w:p>
        </w:tc>
        <w:tc>
          <w:tcPr>
            <w:tcW w:w="2867"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DO_COM3+</w:t>
            </w:r>
          </w:p>
        </w:tc>
        <w:tc>
          <w:tcPr>
            <w:tcW w:w="3853" w:type="dxa"/>
            <w:vAlign w:val="bottom"/>
          </w:tcPr>
          <w:p>
            <w:pPr>
              <w:keepNext w:val="0"/>
              <w:keepLines w:val="0"/>
              <w:suppressLineNumbers w:val="0"/>
              <w:spacing w:before="0" w:beforeAutospacing="0" w:after="0" w:afterAutospacing="0" w:line="360" w:lineRule="auto"/>
              <w:ind w:left="0" w:right="0"/>
              <w:rPr>
                <w:rFonts w:hint="default" w:cs="Calibri"/>
                <w:kern w:val="0"/>
                <w:szCs w:val="21"/>
              </w:rPr>
            </w:pPr>
            <w:r>
              <w:rPr>
                <w:rFonts w:hint="eastAsia" w:cs="Calibri"/>
                <w:kern w:val="0"/>
                <w:szCs w:val="21"/>
              </w:rPr>
              <w:t>DC24V+/DC110V+，DO9-DO12公共端，</w:t>
            </w:r>
          </w:p>
          <w:p>
            <w:pPr>
              <w:keepNext w:val="0"/>
              <w:keepLines w:val="0"/>
              <w:suppressLineNumbers w:val="0"/>
              <w:spacing w:before="0" w:beforeAutospacing="0" w:after="0" w:afterAutospacing="0" w:line="360" w:lineRule="auto"/>
              <w:ind w:left="0" w:right="0"/>
              <w:rPr>
                <w:rFonts w:hint="default"/>
                <w:sz w:val="24"/>
                <w:szCs w:val="20"/>
              </w:rPr>
            </w:pPr>
            <w:r>
              <w:rPr>
                <w:rFonts w:hint="default" w:cs="Calibri"/>
                <w:kern w:val="0"/>
                <w:szCs w:val="21"/>
              </w:rPr>
              <w:t>DC24V(</w:t>
            </w:r>
            <w:r>
              <w:rPr>
                <w:rFonts w:hint="eastAsia" w:cs="Calibri"/>
                <w:kern w:val="0"/>
                <w:szCs w:val="21"/>
              </w:rPr>
              <w:t>4</w:t>
            </w:r>
            <w:r>
              <w:rPr>
                <w:rFonts w:hint="default" w:cs="Calibri"/>
                <w:kern w:val="0"/>
                <w:szCs w:val="21"/>
              </w:rPr>
              <w:t>A)和DC110V(</w:t>
            </w:r>
            <w:r>
              <w:rPr>
                <w:rFonts w:hint="eastAsia" w:cs="Calibri"/>
                <w:kern w:val="0"/>
                <w:szCs w:val="21"/>
              </w:rPr>
              <w:t>0.8</w:t>
            </w:r>
            <w:r>
              <w:rPr>
                <w:rFonts w:hint="default" w:cs="Calibri"/>
                <w:kern w:val="0"/>
                <w:szCs w:val="21"/>
              </w:rPr>
              <w:t>A)</w:t>
            </w:r>
          </w:p>
        </w:tc>
        <w:tc>
          <w:tcPr>
            <w:tcW w:w="2867"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第三组数字量输出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DO9</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DO通道9</w:t>
            </w:r>
          </w:p>
        </w:tc>
        <w:tc>
          <w:tcPr>
            <w:tcW w:w="2867"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DO10</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DO通道10</w:t>
            </w:r>
          </w:p>
        </w:tc>
        <w:tc>
          <w:tcPr>
            <w:tcW w:w="2867"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17</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DO11</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DO通道11</w:t>
            </w:r>
          </w:p>
        </w:tc>
        <w:tc>
          <w:tcPr>
            <w:tcW w:w="2867"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18</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DO12</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DO通道12</w:t>
            </w:r>
          </w:p>
        </w:tc>
        <w:tc>
          <w:tcPr>
            <w:tcW w:w="2867"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19</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DO16</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w:t>
            </w:r>
            <w:r>
              <w:rPr>
                <w:rFonts w:hint="eastAsia" w:cs="宋体"/>
                <w:sz w:val="24"/>
                <w:szCs w:val="22"/>
                <w:lang w:bidi="ar"/>
              </w:rPr>
              <w:t>通道</w:t>
            </w:r>
            <w:r>
              <w:rPr>
                <w:rFonts w:hint="default"/>
                <w:sz w:val="24"/>
                <w:szCs w:val="22"/>
                <w:lang w:bidi="ar"/>
              </w:rPr>
              <w:t>16</w:t>
            </w:r>
          </w:p>
        </w:tc>
        <w:tc>
          <w:tcPr>
            <w:tcW w:w="2867"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双路数字量输出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20</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COM+(DO13)</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cs="Calibri"/>
                <w:kern w:val="0"/>
                <w:sz w:val="21"/>
                <w:szCs w:val="21"/>
                <w:lang w:bidi="ar"/>
              </w:rPr>
              <w:t>COM</w:t>
            </w:r>
            <w:r>
              <w:rPr>
                <w:rFonts w:hint="eastAsia" w:cs="Calibri"/>
                <w:kern w:val="0"/>
                <w:sz w:val="21"/>
                <w:szCs w:val="21"/>
                <w:lang w:bidi="ar"/>
              </w:rPr>
              <w:t>，</w:t>
            </w:r>
            <w:r>
              <w:rPr>
                <w:rFonts w:hint="default" w:cs="Calibri"/>
                <w:kern w:val="0"/>
                <w:sz w:val="21"/>
                <w:szCs w:val="21"/>
                <w:lang w:bidi="ar"/>
              </w:rPr>
              <w:t>DC110V+</w:t>
            </w:r>
            <w:r>
              <w:rPr>
                <w:rFonts w:hint="eastAsia" w:cs="Calibri"/>
                <w:kern w:val="0"/>
                <w:sz w:val="21"/>
                <w:szCs w:val="21"/>
                <w:lang w:bidi="ar"/>
              </w:rPr>
              <w:t>或</w:t>
            </w:r>
            <w:r>
              <w:rPr>
                <w:rFonts w:hint="default" w:cs="Calibri"/>
                <w:kern w:val="0"/>
                <w:sz w:val="21"/>
                <w:szCs w:val="21"/>
                <w:lang w:bidi="ar"/>
              </w:rPr>
              <w:t>DC24V+</w:t>
            </w:r>
            <w:r>
              <w:rPr>
                <w:rFonts w:hint="eastAsia" w:cs="Calibri"/>
                <w:kern w:val="0"/>
                <w:sz w:val="21"/>
                <w:szCs w:val="21"/>
                <w:lang w:bidi="ar"/>
              </w:rPr>
              <w:t>，对应</w:t>
            </w:r>
            <w:r>
              <w:rPr>
                <w:rFonts w:hint="default" w:cs="Calibri"/>
                <w:kern w:val="0"/>
                <w:sz w:val="21"/>
                <w:szCs w:val="21"/>
                <w:lang w:bidi="ar"/>
              </w:rPr>
              <w:t>DO</w:t>
            </w:r>
            <w:r>
              <w:rPr>
                <w:rFonts w:hint="eastAsia" w:cs="Calibri"/>
                <w:kern w:val="0"/>
                <w:sz w:val="21"/>
                <w:szCs w:val="21"/>
                <w:lang w:bidi="ar"/>
              </w:rPr>
              <w:t>1</w:t>
            </w:r>
            <w:r>
              <w:rPr>
                <w:rFonts w:hint="default" w:cs="Calibri"/>
                <w:kern w:val="0"/>
                <w:sz w:val="21"/>
                <w:szCs w:val="21"/>
                <w:lang w:bidi="ar"/>
              </w:rPr>
              <w:t>3</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DO13</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w:t>
            </w:r>
            <w:r>
              <w:rPr>
                <w:rFonts w:hint="eastAsia" w:cs="宋体"/>
                <w:sz w:val="24"/>
                <w:szCs w:val="22"/>
                <w:lang w:bidi="ar"/>
              </w:rPr>
              <w:t>通道</w:t>
            </w:r>
            <w:r>
              <w:rPr>
                <w:rFonts w:hint="default"/>
                <w:sz w:val="24"/>
                <w:szCs w:val="22"/>
                <w:lang w:bidi="ar"/>
              </w:rPr>
              <w:t>13</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COM+(DO14)</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cs="Calibri"/>
                <w:kern w:val="0"/>
                <w:sz w:val="21"/>
                <w:szCs w:val="21"/>
                <w:lang w:bidi="ar"/>
              </w:rPr>
              <w:t>COM</w:t>
            </w:r>
            <w:r>
              <w:rPr>
                <w:rFonts w:hint="eastAsia" w:cs="Calibri"/>
                <w:kern w:val="0"/>
                <w:sz w:val="21"/>
                <w:szCs w:val="21"/>
                <w:lang w:bidi="ar"/>
              </w:rPr>
              <w:t>，</w:t>
            </w:r>
            <w:r>
              <w:rPr>
                <w:rFonts w:hint="default" w:cs="Calibri"/>
                <w:kern w:val="0"/>
                <w:sz w:val="21"/>
                <w:szCs w:val="21"/>
                <w:lang w:bidi="ar"/>
              </w:rPr>
              <w:t>DC110V+</w:t>
            </w:r>
            <w:r>
              <w:rPr>
                <w:rFonts w:hint="eastAsia" w:cs="Calibri"/>
                <w:kern w:val="0"/>
                <w:sz w:val="21"/>
                <w:szCs w:val="21"/>
                <w:lang w:bidi="ar"/>
              </w:rPr>
              <w:t>或</w:t>
            </w:r>
            <w:r>
              <w:rPr>
                <w:rFonts w:hint="default" w:cs="Calibri"/>
                <w:kern w:val="0"/>
                <w:sz w:val="21"/>
                <w:szCs w:val="21"/>
                <w:lang w:bidi="ar"/>
              </w:rPr>
              <w:t>DC24V+</w:t>
            </w:r>
            <w:r>
              <w:rPr>
                <w:rFonts w:hint="eastAsia" w:cs="Calibri"/>
                <w:kern w:val="0"/>
                <w:sz w:val="21"/>
                <w:szCs w:val="21"/>
                <w:lang w:bidi="ar"/>
              </w:rPr>
              <w:t>，对应DO</w:t>
            </w:r>
            <w:r>
              <w:rPr>
                <w:rFonts w:hint="default"/>
                <w:sz w:val="24"/>
                <w:szCs w:val="22"/>
                <w:lang w:bidi="ar"/>
              </w:rPr>
              <w:t>14</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DO14</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w:t>
            </w:r>
            <w:r>
              <w:rPr>
                <w:rFonts w:hint="eastAsia" w:cs="宋体"/>
                <w:sz w:val="24"/>
                <w:szCs w:val="22"/>
                <w:lang w:bidi="ar"/>
              </w:rPr>
              <w:t>通道</w:t>
            </w:r>
            <w:r>
              <w:rPr>
                <w:rFonts w:hint="default"/>
                <w:sz w:val="24"/>
                <w:szCs w:val="22"/>
                <w:lang w:bidi="ar"/>
              </w:rPr>
              <w:t>14</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COM+(DO15)</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cs="Calibri"/>
                <w:kern w:val="0"/>
                <w:sz w:val="21"/>
                <w:szCs w:val="21"/>
                <w:lang w:bidi="ar"/>
              </w:rPr>
              <w:t>COM</w:t>
            </w:r>
            <w:r>
              <w:rPr>
                <w:rFonts w:hint="eastAsia" w:cs="Calibri"/>
                <w:kern w:val="0"/>
                <w:sz w:val="21"/>
                <w:szCs w:val="21"/>
                <w:lang w:bidi="ar"/>
              </w:rPr>
              <w:t>，</w:t>
            </w:r>
            <w:r>
              <w:rPr>
                <w:rFonts w:hint="default" w:cs="Calibri"/>
                <w:kern w:val="0"/>
                <w:sz w:val="21"/>
                <w:szCs w:val="21"/>
                <w:lang w:bidi="ar"/>
              </w:rPr>
              <w:t>DC110V+</w:t>
            </w:r>
            <w:r>
              <w:rPr>
                <w:rFonts w:hint="eastAsia" w:cs="Calibri"/>
                <w:kern w:val="0"/>
                <w:sz w:val="21"/>
                <w:szCs w:val="21"/>
                <w:lang w:bidi="ar"/>
              </w:rPr>
              <w:t>或</w:t>
            </w:r>
            <w:r>
              <w:rPr>
                <w:rFonts w:hint="default" w:cs="Calibri"/>
                <w:kern w:val="0"/>
                <w:sz w:val="21"/>
                <w:szCs w:val="21"/>
                <w:lang w:bidi="ar"/>
              </w:rPr>
              <w:t>DC24V+</w:t>
            </w:r>
            <w:r>
              <w:rPr>
                <w:rFonts w:hint="eastAsia" w:cs="Calibri"/>
                <w:kern w:val="0"/>
                <w:sz w:val="21"/>
                <w:szCs w:val="21"/>
                <w:lang w:bidi="ar"/>
              </w:rPr>
              <w:t>，对应DO</w:t>
            </w:r>
            <w:r>
              <w:rPr>
                <w:rFonts w:hint="default"/>
                <w:sz w:val="24"/>
                <w:szCs w:val="22"/>
                <w:lang w:bidi="ar"/>
              </w:rPr>
              <w:t>15</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DO15</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DO</w:t>
            </w:r>
            <w:r>
              <w:rPr>
                <w:rFonts w:hint="eastAsia" w:cs="宋体"/>
                <w:sz w:val="24"/>
                <w:szCs w:val="22"/>
                <w:lang w:bidi="ar"/>
              </w:rPr>
              <w:t>通道</w:t>
            </w:r>
            <w:r>
              <w:rPr>
                <w:rFonts w:hint="default"/>
                <w:sz w:val="24"/>
                <w:szCs w:val="22"/>
                <w:lang w:bidi="ar"/>
              </w:rPr>
              <w:t>15</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sz w:val="24"/>
                <w:szCs w:val="22"/>
                <w:lang w:bidi="ar"/>
              </w:rPr>
              <w:t>COM+(DO16)</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default" w:cs="Calibri"/>
                <w:kern w:val="0"/>
                <w:sz w:val="21"/>
                <w:szCs w:val="21"/>
                <w:lang w:bidi="ar"/>
              </w:rPr>
              <w:t>COM</w:t>
            </w:r>
            <w:r>
              <w:rPr>
                <w:rFonts w:hint="eastAsia" w:cs="Calibri"/>
                <w:kern w:val="0"/>
                <w:sz w:val="21"/>
                <w:szCs w:val="21"/>
                <w:lang w:bidi="ar"/>
              </w:rPr>
              <w:t>，</w:t>
            </w:r>
            <w:r>
              <w:rPr>
                <w:rFonts w:hint="default" w:cs="Calibri"/>
                <w:kern w:val="0"/>
                <w:sz w:val="21"/>
                <w:szCs w:val="21"/>
                <w:lang w:bidi="ar"/>
              </w:rPr>
              <w:t>DC110V+</w:t>
            </w:r>
            <w:r>
              <w:rPr>
                <w:rFonts w:hint="eastAsia" w:cs="Calibri"/>
                <w:kern w:val="0"/>
                <w:sz w:val="21"/>
                <w:szCs w:val="21"/>
                <w:lang w:bidi="ar"/>
              </w:rPr>
              <w:t>或</w:t>
            </w:r>
            <w:r>
              <w:rPr>
                <w:rFonts w:hint="default" w:cs="Calibri"/>
                <w:kern w:val="0"/>
                <w:sz w:val="21"/>
                <w:szCs w:val="21"/>
                <w:lang w:bidi="ar"/>
              </w:rPr>
              <w:t>DC24V+</w:t>
            </w:r>
            <w:r>
              <w:rPr>
                <w:rFonts w:hint="eastAsia" w:cs="Calibri"/>
                <w:kern w:val="0"/>
                <w:sz w:val="21"/>
                <w:szCs w:val="21"/>
                <w:lang w:bidi="ar"/>
              </w:rPr>
              <w:t>，对应</w:t>
            </w:r>
            <w:r>
              <w:rPr>
                <w:rFonts w:hint="default" w:cs="Calibri"/>
                <w:kern w:val="0"/>
                <w:sz w:val="21"/>
                <w:szCs w:val="21"/>
                <w:lang w:bidi="ar"/>
              </w:rPr>
              <w:t>DO</w:t>
            </w:r>
            <w:r>
              <w:rPr>
                <w:rFonts w:hint="default"/>
                <w:sz w:val="24"/>
                <w:szCs w:val="22"/>
                <w:lang w:bidi="ar"/>
              </w:rPr>
              <w:t>16</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bl>
    <w:p>
      <w:pPr>
        <w:spacing w:line="360" w:lineRule="auto"/>
        <w:rPr>
          <w:sz w:val="24"/>
        </w:rPr>
      </w:pPr>
    </w:p>
    <w:p>
      <w:pPr>
        <w:pStyle w:val="16"/>
        <w:jc w:val="center"/>
        <w:rPr>
          <w:sz w:val="24"/>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15</w:t>
      </w:r>
      <w:r>
        <w:fldChar w:fldCharType="end"/>
      </w:r>
      <w:r>
        <w:rPr>
          <w:rFonts w:hint="eastAsia"/>
        </w:rPr>
        <w:t xml:space="preserve"> </w:t>
      </w:r>
      <w:r>
        <w:rPr>
          <w:rFonts w:hint="eastAsia"/>
          <w:lang w:eastAsia="zh-CN"/>
        </w:rPr>
        <w:t>XS5</w:t>
      </w:r>
    </w:p>
    <w:tbl>
      <w:tblPr>
        <w:tblStyle w:val="60"/>
        <w:tblW w:w="96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097"/>
        <w:gridCol w:w="3853"/>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序号</w:t>
            </w:r>
          </w:p>
        </w:tc>
        <w:tc>
          <w:tcPr>
            <w:tcW w:w="2097"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定义</w:t>
            </w:r>
          </w:p>
        </w:tc>
        <w:tc>
          <w:tcPr>
            <w:tcW w:w="3853"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功能</w:t>
            </w:r>
            <w:r>
              <w:rPr>
                <w:rFonts w:hint="default"/>
                <w:sz w:val="24"/>
                <w:szCs w:val="20"/>
              </w:rPr>
              <w:t>描述</w:t>
            </w:r>
          </w:p>
        </w:tc>
        <w:tc>
          <w:tcPr>
            <w:tcW w:w="2867" w:type="dxa"/>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使用说明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IN_COM1-</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DI公共端，DC24V-，对应IN1-IN12</w:t>
            </w:r>
          </w:p>
        </w:tc>
        <w:tc>
          <w:tcPr>
            <w:tcW w:w="2867"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第一组数字量输入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IN2</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DI通道2</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IN3</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DI通道3</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IN4</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DI通道4</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IN5</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DI通道5</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7</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IN6</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DI通道6</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8</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IN7</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DI通道7</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9</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IN8</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DI通道8</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10</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IN9</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DI通道9</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IN10</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DI通道10</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IN11</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DI通道11</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IN12</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DI通道12</w:t>
            </w:r>
          </w:p>
        </w:tc>
        <w:tc>
          <w:tcPr>
            <w:tcW w:w="2867" w:type="dxa"/>
            <w:vMerge w:val="continue"/>
            <w:vAlign w:val="center"/>
          </w:tcPr>
          <w:p>
            <w:pPr>
              <w:keepNext w:val="0"/>
              <w:keepLines w:val="0"/>
              <w:suppressLineNumbers w:val="0"/>
              <w:spacing w:before="0" w:beforeAutospacing="0" w:after="0" w:afterAutospacing="0" w:line="360" w:lineRule="auto"/>
              <w:ind w:left="0" w:right="0"/>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IN_COM2-</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DI公共端，DC24V-，对应IN13-IN24</w:t>
            </w:r>
          </w:p>
        </w:tc>
        <w:tc>
          <w:tcPr>
            <w:tcW w:w="2867" w:type="dxa"/>
            <w:vMerge w:val="restart"/>
            <w:vAlign w:val="center"/>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第二组数字量输入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IN13</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DI通道13</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IN14</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DI通道14</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17</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IN15</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DI通道15</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18</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IN16</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DI通道16</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19</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IN17</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DI通道17</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20</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IN18</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DI通道18</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21</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IN19</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DI通道19</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22</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IN20</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DI通道20</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23</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IN21</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DI通道21</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24</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IN22</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DI通道22</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25</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IN23</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DI通道23</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26</w:t>
            </w:r>
          </w:p>
        </w:tc>
        <w:tc>
          <w:tcPr>
            <w:tcW w:w="2097"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IN24</w:t>
            </w:r>
          </w:p>
        </w:tc>
        <w:tc>
          <w:tcPr>
            <w:tcW w:w="3853" w:type="dxa"/>
            <w:vAlign w:val="bottom"/>
          </w:tcPr>
          <w:p>
            <w:pPr>
              <w:keepNext w:val="0"/>
              <w:keepLines w:val="0"/>
              <w:suppressLineNumbers w:val="0"/>
              <w:spacing w:before="0" w:beforeAutospacing="0" w:after="0" w:afterAutospacing="0" w:line="360" w:lineRule="auto"/>
              <w:ind w:left="0" w:right="0"/>
              <w:rPr>
                <w:rFonts w:hint="default"/>
                <w:sz w:val="24"/>
                <w:szCs w:val="20"/>
              </w:rPr>
            </w:pPr>
            <w:r>
              <w:rPr>
                <w:rFonts w:hint="eastAsia"/>
                <w:sz w:val="24"/>
                <w:szCs w:val="20"/>
              </w:rPr>
              <w:t>DI通道24</w:t>
            </w:r>
          </w:p>
        </w:tc>
        <w:tc>
          <w:tcPr>
            <w:tcW w:w="2867"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r>
    </w:tbl>
    <w:p>
      <w:pPr>
        <w:spacing w:line="360" w:lineRule="auto"/>
        <w:rPr>
          <w:rStyle w:val="184"/>
        </w:rPr>
      </w:pPr>
    </w:p>
    <w:p/>
    <w:p/>
    <w:p/>
    <w:p/>
    <w:p>
      <w:pPr>
        <w:pStyle w:val="2"/>
        <w:numPr>
          <w:ilvl w:val="0"/>
          <w:numId w:val="0"/>
        </w:numPr>
        <w:tabs>
          <w:tab w:val="left" w:pos="397"/>
        </w:tabs>
        <w:spacing w:before="240" w:after="120"/>
      </w:pPr>
      <w:bookmarkStart w:id="156" w:name="_Toc136164126"/>
      <w:r>
        <w:rPr>
          <w:rFonts w:hint="eastAsia"/>
        </w:rPr>
        <w:t>附录5：通讯协议</w:t>
      </w:r>
      <w:bookmarkEnd w:id="156"/>
    </w:p>
    <w:p>
      <w:pPr>
        <w:rPr>
          <w:color w:val="FF0000"/>
        </w:rPr>
      </w:pPr>
      <w:r>
        <w:rPr>
          <w:rFonts w:hint="eastAsia"/>
          <w:color w:val="FF0000"/>
        </w:rPr>
        <w:t xml:space="preserve">软件版本参见P97K0082图纸. </w:t>
      </w:r>
    </w:p>
    <w:p>
      <w:pPr>
        <w:rPr>
          <w:color w:val="FF0000"/>
        </w:rPr>
      </w:pPr>
      <w:r>
        <w:rPr>
          <w:rFonts w:hint="eastAsia"/>
          <w:color w:val="FF0000"/>
        </w:rPr>
        <w:t>RS485与CAN通讯协议参见</w:t>
      </w:r>
      <w:r>
        <w:rPr>
          <w:color w:val="FF0000"/>
        </w:rPr>
        <w:t>PDM技术条件附件。</w:t>
      </w:r>
    </w:p>
    <w:p>
      <w:pPr>
        <w:rPr>
          <w:rFonts w:hint="eastAsia" w:ascii="黑体" w:hAnsi="宋体" w:eastAsia="黑体"/>
          <w:b/>
          <w:color w:val="auto"/>
          <w:sz w:val="36"/>
          <w:szCs w:val="22"/>
          <w:highlight w:val="none"/>
        </w:rPr>
      </w:pPr>
    </w:p>
    <w:p>
      <w:pPr>
        <w:adjustRightInd w:val="0"/>
        <w:snapToGrid w:val="0"/>
        <w:spacing w:line="360" w:lineRule="auto"/>
        <w:jc w:val="both"/>
        <w:rPr>
          <w:rFonts w:hint="eastAsia" w:ascii="黑体" w:eastAsia="黑体"/>
          <w:b/>
          <w:bCs/>
          <w:color w:val="auto"/>
          <w:sz w:val="36"/>
          <w:szCs w:val="28"/>
          <w:highlight w:val="none"/>
          <w:shd w:val="clear" w:color="auto" w:fill="auto"/>
          <w:lang w:val="en-US" w:eastAsia="zh-CN"/>
        </w:rPr>
      </w:pPr>
    </w:p>
    <w:p>
      <w:pPr>
        <w:adjustRightInd w:val="0"/>
        <w:snapToGrid w:val="0"/>
        <w:spacing w:line="360" w:lineRule="auto"/>
        <w:jc w:val="center"/>
        <w:rPr>
          <w:rFonts w:hint="eastAsia"/>
          <w:color w:val="auto"/>
          <w:highlight w:val="none"/>
          <w:lang w:val="zh-CN"/>
        </w:rPr>
      </w:pPr>
      <w:r>
        <w:rPr>
          <w:rFonts w:hint="eastAsia" w:ascii="黑体" w:eastAsia="黑体"/>
          <w:b/>
          <w:bCs/>
          <w:color w:val="auto"/>
          <w:sz w:val="36"/>
          <w:szCs w:val="28"/>
          <w:highlight w:val="none"/>
          <w:shd w:val="clear" w:color="auto" w:fill="auto"/>
          <w:lang w:val="en-US" w:eastAsia="zh-CN"/>
        </w:rPr>
        <w:t xml:space="preserve">第三章 </w:t>
      </w:r>
      <w:r>
        <w:rPr>
          <w:rFonts w:hint="eastAsia" w:ascii="黑体" w:eastAsia="黑体"/>
          <w:b/>
          <w:bCs/>
          <w:color w:val="auto"/>
          <w:sz w:val="36"/>
          <w:szCs w:val="28"/>
          <w:highlight w:val="none"/>
          <w:shd w:val="clear" w:color="auto" w:fill="auto"/>
          <w:lang w:val="zh-CN"/>
        </w:rPr>
        <w:t>评标办法</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b/>
          <w:bCs/>
          <w:color w:val="auto"/>
          <w:sz w:val="28"/>
          <w:szCs w:val="28"/>
          <w:highlight w:val="none"/>
        </w:rPr>
      </w:pPr>
      <w:r>
        <w:rPr>
          <w:rFonts w:hint="eastAsia" w:hAnsi="宋体"/>
          <w:b/>
          <w:bCs/>
          <w:color w:val="auto"/>
          <w:sz w:val="28"/>
          <w:szCs w:val="28"/>
          <w:highlight w:val="none"/>
        </w:rPr>
        <w:t>总则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rPr>
        <w:t>本次评标采用综合评估法。</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b/>
          <w:bCs/>
          <w:color w:val="auto"/>
          <w:sz w:val="28"/>
          <w:szCs w:val="28"/>
          <w:highlight w:val="none"/>
        </w:rPr>
        <w:t>1. 评标原则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rPr>
        <w:t>1.1评标依照《中华人民共和国招标投标法》及国家有关法律法规、招标文件的要求进行。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rPr>
        <w:t>1.2评标活动遵循公平、公正、科学、择优的原则。</w:t>
      </w:r>
      <w:r>
        <w:rPr>
          <w:rFonts w:hint="eastAsia" w:ascii="宋体" w:hAnsi="宋体"/>
          <w:color w:val="auto"/>
          <w:sz w:val="28"/>
          <w:szCs w:val="28"/>
          <w:highlight w:val="none"/>
        </w:rPr>
        <w:tab/>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rPr>
        <w:t>1.3评标小组成员客观、公正地履行职责，对所提出的评审意见承担个人责任。</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rPr>
        <w:t>1.4评标人员认真执行国家有关政策和法令，维护招标人和投标人的合法权益。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b/>
          <w:bCs/>
          <w:color w:val="auto"/>
          <w:sz w:val="28"/>
          <w:szCs w:val="28"/>
          <w:highlight w:val="none"/>
        </w:rPr>
      </w:pPr>
      <w:r>
        <w:rPr>
          <w:rFonts w:hint="eastAsia" w:ascii="宋体" w:hAnsi="宋体"/>
          <w:b/>
          <w:bCs/>
          <w:color w:val="auto"/>
          <w:sz w:val="28"/>
          <w:szCs w:val="28"/>
          <w:highlight w:val="none"/>
        </w:rPr>
        <w:t>2. 评标小组</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rPr>
        <w:t>2.1评标小组由招标人依法组建，成员根据中车石家庄车辆有限公司有关规定确定。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b/>
          <w:bCs/>
          <w:color w:val="auto"/>
          <w:sz w:val="28"/>
          <w:szCs w:val="28"/>
          <w:highlight w:val="none"/>
        </w:rPr>
      </w:pPr>
      <w:r>
        <w:rPr>
          <w:rFonts w:hint="eastAsia" w:ascii="宋体" w:hAnsi="宋体"/>
          <w:b/>
          <w:bCs/>
          <w:color w:val="auto"/>
          <w:sz w:val="28"/>
          <w:szCs w:val="28"/>
          <w:highlight w:val="none"/>
        </w:rPr>
        <w:t>3. 投标文件的澄清</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3.1评标小组可以要求投标人对投标文件中含义不明确、对同类问题表述不一致或者有明显文字和计算错误的内容作必要的澄清、说明或者补正。澄清、说明或者补正应以书面方式进行（应有投标人法人授权代表的签字）并不得超出投标文件的范围或者改变投标文件的实质性内容。</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3.2 投标人的澄清、说明或者补正是投标文件的组成部分，并替代投标文件中相应的内容。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b/>
          <w:bCs/>
          <w:color w:val="auto"/>
          <w:sz w:val="28"/>
          <w:szCs w:val="28"/>
          <w:highlight w:val="none"/>
        </w:rPr>
      </w:pPr>
      <w:r>
        <w:rPr>
          <w:rFonts w:hint="eastAsia" w:ascii="宋体" w:hAnsi="宋体"/>
          <w:b/>
          <w:bCs/>
          <w:color w:val="auto"/>
          <w:sz w:val="28"/>
          <w:szCs w:val="28"/>
          <w:highlight w:val="none"/>
        </w:rPr>
        <w:t>4. 评审程序</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4.1 资格审查</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eastAsia="宋体"/>
          <w:color w:val="auto"/>
          <w:sz w:val="28"/>
          <w:szCs w:val="28"/>
          <w:highlight w:val="none"/>
          <w:lang w:eastAsia="zh-CN"/>
        </w:rPr>
      </w:pPr>
      <w:r>
        <w:rPr>
          <w:rFonts w:hint="eastAsia" w:hAnsi="宋体"/>
          <w:color w:val="auto"/>
          <w:sz w:val="28"/>
          <w:szCs w:val="28"/>
          <w:highlight w:val="none"/>
        </w:rPr>
        <w:t>4.1.</w:t>
      </w:r>
      <w:r>
        <w:rPr>
          <w:rFonts w:hint="eastAsia" w:hAnsi="宋体"/>
          <w:color w:val="auto"/>
          <w:sz w:val="28"/>
          <w:szCs w:val="28"/>
          <w:highlight w:val="none"/>
          <w:lang w:val="en-US" w:eastAsia="zh-CN"/>
        </w:rPr>
        <w:t>1</w:t>
      </w:r>
      <w:r>
        <w:rPr>
          <w:rFonts w:hint="eastAsia" w:hAnsi="宋体"/>
          <w:color w:val="auto"/>
          <w:sz w:val="28"/>
          <w:szCs w:val="28"/>
          <w:highlight w:val="none"/>
        </w:rPr>
        <w:t xml:space="preserve"> </w:t>
      </w:r>
      <w:r>
        <w:rPr>
          <w:rFonts w:hint="eastAsia" w:hAnsi="宋体"/>
          <w:color w:val="auto"/>
          <w:sz w:val="28"/>
          <w:szCs w:val="28"/>
          <w:highlight w:val="none"/>
          <w:u w:val="single"/>
        </w:rPr>
        <w:t>是否按照招标文件要求提供投标保证金。</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4.1.</w:t>
      </w:r>
      <w:r>
        <w:rPr>
          <w:rFonts w:hint="eastAsia" w:hAnsi="宋体"/>
          <w:color w:val="auto"/>
          <w:sz w:val="28"/>
          <w:szCs w:val="28"/>
          <w:highlight w:val="none"/>
          <w:lang w:val="en-US" w:eastAsia="zh-CN"/>
        </w:rPr>
        <w:t>2</w:t>
      </w:r>
      <w:r>
        <w:rPr>
          <w:rFonts w:hint="eastAsia" w:hAnsi="宋体"/>
          <w:color w:val="auto"/>
          <w:sz w:val="28"/>
          <w:szCs w:val="28"/>
          <w:highlight w:val="none"/>
        </w:rPr>
        <w:t xml:space="preserve"> 资格审查不合格的投标将作废标处理，不得进入下一步评审。</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4.2 初步评审</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4.2.1 投标文件是否完整；投标文件是否合格签署；提出的适用法律是否为中华人民共和国法律；投标有效期是否满足招标文件要求；投标文件是否按招标文件规定的格式填写；投标文件的供货范围是否有缺漏项；是否低于成本报价竞标；是否有明显不符合技术规格、技术标准及相应业绩的要求。</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4.2.2 投标文件有无计算错误。当投标文件有计算错误时，按以下规定进行算术性校核：投标文件中的大写金额和小写金额不一致的，以大写金额为准；总价金额与单价金额不一致的，以单价金额为准，但单价金额小数点有明显错误的除外。如果投标人不接受对其错误的更正，其投标文件将被拒绝。</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4.2.3 投标文件是否与招标文件存在偏差。</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4.2.3.1 评标小组审查每一投标文件是否与招标文件存在偏差。</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偏差分为细微偏差和重大偏差，细微偏差是指投标文件在实质上响应招标文件要求，但在个别地方存在漏项或者提供了不完整的技术信息和数据等情况，并且补正这些遗漏或者不完整不会对其他投标人造成不公平的结果。评标小组将书面要求存在细微偏差的投标人在评标结束前予以修正。拒不修正的，该投标人的投标应作废标处理。</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重大偏差是指投标文件未对招标文件提出的实质性要求和条件作出响应。未能在实质上响应的投标，将作废标处理。投标人不得通过修正或</w:t>
      </w:r>
      <w:r>
        <w:rPr>
          <w:rFonts w:hint="eastAsia" w:hAnsi="宋体"/>
          <w:color w:val="auto"/>
          <w:sz w:val="28"/>
          <w:szCs w:val="28"/>
          <w:highlight w:val="none"/>
          <w:lang w:eastAsia="zh-CN"/>
        </w:rPr>
        <w:t>撤销</w:t>
      </w:r>
      <w:r>
        <w:rPr>
          <w:rFonts w:hint="eastAsia" w:hAnsi="宋体"/>
          <w:color w:val="auto"/>
          <w:sz w:val="28"/>
          <w:szCs w:val="28"/>
          <w:highlight w:val="none"/>
        </w:rPr>
        <w:t>不合要求的偏离从而使其投标成为实质上响应的。评标小组判断投标文件的实质性响应仅基于投标文件本身而不靠外部证据。</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4.3 详细评审</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rPr>
        <w:t>4.3.1经资格审查合格的投标文件，评标小组将根据招标文件确定的评标标准和方法，对其技术部分和商务部分作进一步评审、比较。评审、比较采用打分的方法（满分100分），各项评审因素的评价标准见附表。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b/>
          <w:color w:val="auto"/>
          <w:sz w:val="28"/>
          <w:szCs w:val="28"/>
          <w:highlight w:val="none"/>
        </w:rPr>
      </w:pPr>
      <w:r>
        <w:rPr>
          <w:rFonts w:hint="eastAsia" w:ascii="宋体" w:hAnsi="宋体"/>
          <w:b/>
          <w:color w:val="auto"/>
          <w:sz w:val="28"/>
          <w:szCs w:val="28"/>
          <w:highlight w:val="none"/>
        </w:rPr>
        <w:t>5. 推荐中标候选人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宋体" w:hAnsi="宋体"/>
          <w:color w:val="auto"/>
          <w:sz w:val="28"/>
          <w:szCs w:val="28"/>
          <w:highlight w:val="none"/>
        </w:rPr>
      </w:pPr>
      <w:r>
        <w:rPr>
          <w:rFonts w:hint="eastAsia" w:ascii="宋体" w:hAnsi="宋体"/>
          <w:color w:val="auto"/>
          <w:sz w:val="28"/>
          <w:szCs w:val="28"/>
          <w:highlight w:val="none"/>
        </w:rPr>
        <w:t>5.1 汇总各评委的有效评分结果，按各投标人得分高低顺序对各投标人进行排序，根据排序确定中标候选人</w:t>
      </w:r>
      <w:r>
        <w:rPr>
          <w:rFonts w:ascii="宋体" w:hAnsi="宋体"/>
          <w:color w:val="auto"/>
          <w:sz w:val="28"/>
          <w:szCs w:val="28"/>
          <w:highlight w:val="none"/>
        </w:rPr>
        <w:t>。中标候选人放弃中标、因不可抗力不能履行合同，或者被查实存在影响中标结果的违法行为等情形，不符合中标条件的，</w:t>
      </w:r>
      <w:r>
        <w:rPr>
          <w:rFonts w:hint="eastAsia" w:ascii="宋体" w:hAnsi="宋体"/>
          <w:color w:val="auto"/>
          <w:sz w:val="28"/>
          <w:szCs w:val="28"/>
          <w:highlight w:val="none"/>
          <w:lang w:eastAsia="zh-CN"/>
        </w:rPr>
        <w:t>采购</w:t>
      </w:r>
      <w:r>
        <w:rPr>
          <w:rFonts w:ascii="宋体" w:hAnsi="宋体"/>
          <w:color w:val="auto"/>
          <w:sz w:val="28"/>
          <w:szCs w:val="28"/>
          <w:highlight w:val="none"/>
        </w:rPr>
        <w:t>人可以按照评标小组提出的中标候选人名单排序依次确定其他中标候选人为中标人，也可以重新招标。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rPr>
        <w:t>5.2 评标报告由评标小组成员签字。对评标结论持有异议的评标小组成员可以书面方式阐述其不同意见和理由。评标小组成员拒绝在评标报告上签字且不陈述其不同意见和理由的，视为同意评标结论。评标小组应当对此作出书面说明并记录在案。</w:t>
      </w:r>
    </w:p>
    <w:p>
      <w:pPr>
        <w:keepNext w:val="0"/>
        <w:keepLines w:val="0"/>
        <w:pageBreakBefore w:val="0"/>
        <w:widowControl/>
        <w:kinsoku w:val="0"/>
        <w:wordWrap/>
        <w:overflowPunct/>
        <w:topLinePunct w:val="0"/>
        <w:autoSpaceDE w:val="0"/>
        <w:autoSpaceDN w:val="0"/>
        <w:bidi w:val="0"/>
        <w:adjustRightInd/>
        <w:snapToGrid w:val="0"/>
        <w:spacing w:before="0" w:after="0" w:line="360" w:lineRule="auto"/>
        <w:ind w:left="0" w:leftChars="0" w:right="0" w:firstLine="0"/>
        <w:textAlignment w:val="baseline"/>
        <w:outlineLvl w:val="9"/>
        <w:rPr>
          <w:rFonts w:hint="eastAsia" w:ascii="宋体" w:hAnsi="宋体" w:eastAsia="宋体" w:cs="宋体"/>
          <w:b/>
          <w:bCs/>
          <w:color w:val="auto"/>
          <w:spacing w:val="12"/>
          <w:sz w:val="28"/>
          <w:szCs w:val="28"/>
          <w:highlight w:val="none"/>
        </w:rPr>
      </w:pPr>
      <w:r>
        <w:rPr>
          <w:rFonts w:hint="eastAsia" w:ascii="宋体" w:hAnsi="宋体" w:eastAsia="宋体" w:cs="宋体"/>
          <w:b/>
          <w:bCs/>
          <w:color w:val="auto"/>
          <w:spacing w:val="12"/>
          <w:sz w:val="28"/>
          <w:szCs w:val="28"/>
          <w:highlight w:val="none"/>
          <w:lang w:val="en-US" w:eastAsia="zh-CN"/>
        </w:rPr>
        <w:t>6.</w:t>
      </w:r>
      <w:r>
        <w:rPr>
          <w:rFonts w:hint="eastAsia" w:ascii="宋体" w:hAnsi="宋体" w:eastAsia="宋体" w:cs="宋体"/>
          <w:b/>
          <w:bCs/>
          <w:color w:val="auto"/>
          <w:spacing w:val="12"/>
          <w:sz w:val="28"/>
          <w:szCs w:val="28"/>
          <w:highlight w:val="none"/>
        </w:rPr>
        <w:t>定标</w:t>
      </w:r>
    </w:p>
    <w:p>
      <w:pPr>
        <w:keepNext w:val="0"/>
        <w:keepLines w:val="0"/>
        <w:pageBreakBefore w:val="0"/>
        <w:widowControl/>
        <w:kinsoku w:val="0"/>
        <w:wordWrap/>
        <w:overflowPunct/>
        <w:topLinePunct w:val="0"/>
        <w:autoSpaceDE w:val="0"/>
        <w:autoSpaceDN w:val="0"/>
        <w:bidi w:val="0"/>
        <w:adjustRightInd/>
        <w:snapToGrid w:val="0"/>
        <w:spacing w:before="0" w:after="0" w:line="360" w:lineRule="auto"/>
        <w:ind w:left="0" w:leftChars="0" w:right="0"/>
        <w:textAlignment w:val="baseline"/>
        <w:outlineLvl w:val="9"/>
        <w:rPr>
          <w:rFonts w:hint="eastAsia" w:ascii="宋体" w:hAnsi="宋体" w:eastAsia="宋体" w:cs="宋体"/>
          <w:color w:val="auto"/>
          <w:spacing w:val="12"/>
          <w:sz w:val="28"/>
          <w:szCs w:val="28"/>
          <w:highlight w:val="none"/>
          <w:lang w:eastAsia="zh-CN"/>
        </w:rPr>
      </w:pPr>
      <w:r>
        <w:rPr>
          <w:rFonts w:hint="eastAsia" w:ascii="宋体" w:hAnsi="宋体" w:eastAsia="宋体" w:cs="宋体"/>
          <w:color w:val="auto"/>
          <w:spacing w:val="12"/>
          <w:sz w:val="28"/>
          <w:szCs w:val="28"/>
          <w:highlight w:val="none"/>
          <w:lang w:val="en-US" w:eastAsia="zh-CN"/>
        </w:rPr>
        <w:t xml:space="preserve">6.1 </w:t>
      </w:r>
      <w:r>
        <w:rPr>
          <w:rFonts w:hint="eastAsia" w:ascii="宋体" w:hAnsi="宋体" w:eastAsia="宋体" w:cs="宋体"/>
          <w:color w:val="auto"/>
          <w:spacing w:val="12"/>
          <w:sz w:val="28"/>
          <w:szCs w:val="28"/>
          <w:highlight w:val="none"/>
        </w:rPr>
        <w:t>按照投标人须知前附表的规定，招标人或招标人授权的</w:t>
      </w:r>
      <w:r>
        <w:rPr>
          <w:rFonts w:hint="eastAsia" w:ascii="宋体" w:hAnsi="宋体" w:eastAsia="宋体" w:cs="宋体"/>
          <w:color w:val="auto"/>
          <w:spacing w:val="12"/>
          <w:sz w:val="28"/>
          <w:szCs w:val="28"/>
          <w:highlight w:val="none"/>
          <w:lang w:eastAsia="zh-CN"/>
        </w:rPr>
        <w:t>评标工作组</w:t>
      </w:r>
      <w:r>
        <w:rPr>
          <w:rFonts w:hint="eastAsia" w:ascii="宋体" w:hAnsi="宋体" w:eastAsia="宋体" w:cs="宋体"/>
          <w:color w:val="auto"/>
          <w:spacing w:val="12"/>
          <w:sz w:val="28"/>
          <w:szCs w:val="28"/>
          <w:highlight w:val="none"/>
        </w:rPr>
        <w:t>确定中标</w:t>
      </w:r>
      <w:r>
        <w:rPr>
          <w:rFonts w:hint="eastAsia" w:ascii="宋体" w:hAnsi="宋体" w:eastAsia="宋体" w:cs="宋体"/>
          <w:color w:val="auto"/>
          <w:spacing w:val="12"/>
          <w:sz w:val="28"/>
          <w:szCs w:val="28"/>
          <w:highlight w:val="none"/>
          <w:lang w:eastAsia="zh-CN"/>
        </w:rPr>
        <w:t>候选</w:t>
      </w:r>
      <w:r>
        <w:rPr>
          <w:rFonts w:hint="eastAsia" w:ascii="宋体" w:hAnsi="宋体" w:eastAsia="宋体" w:cs="宋体"/>
          <w:color w:val="auto"/>
          <w:spacing w:val="12"/>
          <w:sz w:val="28"/>
          <w:szCs w:val="28"/>
          <w:highlight w:val="none"/>
        </w:rPr>
        <w:t>人</w:t>
      </w:r>
      <w:r>
        <w:rPr>
          <w:rFonts w:hint="eastAsia" w:ascii="宋体" w:hAnsi="宋体" w:eastAsia="宋体" w:cs="宋体"/>
          <w:color w:val="auto"/>
          <w:spacing w:val="12"/>
          <w:sz w:val="28"/>
          <w:szCs w:val="28"/>
          <w:highlight w:val="none"/>
          <w:lang w:eastAsia="zh-CN"/>
        </w:rPr>
        <w:t>。</w:t>
      </w:r>
    </w:p>
    <w:p>
      <w:pPr>
        <w:keepNext w:val="0"/>
        <w:keepLines w:val="0"/>
        <w:pageBreakBefore w:val="0"/>
        <w:widowControl/>
        <w:kinsoku w:val="0"/>
        <w:wordWrap/>
        <w:overflowPunct/>
        <w:topLinePunct w:val="0"/>
        <w:autoSpaceDE w:val="0"/>
        <w:autoSpaceDN w:val="0"/>
        <w:bidi w:val="0"/>
        <w:adjustRightInd/>
        <w:snapToGrid w:val="0"/>
        <w:spacing w:before="0" w:after="0" w:line="360" w:lineRule="auto"/>
        <w:ind w:left="0" w:leftChars="0" w:right="0"/>
        <w:textAlignment w:val="baseline"/>
        <w:outlineLvl w:val="9"/>
        <w:rPr>
          <w:rFonts w:hint="eastAsia" w:ascii="宋体" w:hAnsi="宋体" w:eastAsia="宋体" w:cs="宋体"/>
          <w:color w:val="auto"/>
          <w:spacing w:val="12"/>
          <w:sz w:val="28"/>
          <w:szCs w:val="28"/>
          <w:highlight w:val="none"/>
          <w:lang w:eastAsia="zh-CN"/>
        </w:rPr>
      </w:pPr>
      <w:r>
        <w:rPr>
          <w:rFonts w:hint="eastAsia" w:ascii="宋体" w:hAnsi="宋体" w:eastAsia="宋体" w:cs="宋体"/>
          <w:color w:val="auto"/>
          <w:spacing w:val="12"/>
          <w:sz w:val="28"/>
          <w:szCs w:val="28"/>
          <w:highlight w:val="none"/>
          <w:lang w:val="en-US" w:eastAsia="zh-CN"/>
        </w:rPr>
        <w:t xml:space="preserve">6.2 </w:t>
      </w:r>
      <w:r>
        <w:rPr>
          <w:rFonts w:hint="eastAsia" w:ascii="宋体" w:hAnsi="宋体" w:eastAsia="宋体" w:cs="宋体"/>
          <w:color w:val="auto"/>
          <w:spacing w:val="12"/>
          <w:sz w:val="28"/>
          <w:szCs w:val="28"/>
          <w:highlight w:val="none"/>
          <w:lang w:eastAsia="zh-CN"/>
        </w:rPr>
        <w:t>依据评标工作组推荐的中标候选人和中标候选人公示情况，招标人履行公司内部审批程序后确定中标人。</w:t>
      </w:r>
    </w:p>
    <w:p>
      <w:pPr>
        <w:keepNext w:val="0"/>
        <w:keepLines w:val="0"/>
        <w:pageBreakBefore w:val="0"/>
        <w:widowControl/>
        <w:kinsoku w:val="0"/>
        <w:wordWrap/>
        <w:overflowPunct/>
        <w:topLinePunct w:val="0"/>
        <w:autoSpaceDE w:val="0"/>
        <w:autoSpaceDN w:val="0"/>
        <w:bidi w:val="0"/>
        <w:adjustRightInd/>
        <w:snapToGrid w:val="0"/>
        <w:spacing w:before="0" w:after="0" w:line="360" w:lineRule="auto"/>
        <w:ind w:left="0" w:leftChars="0" w:right="0" w:firstLine="0"/>
        <w:textAlignment w:val="baseline"/>
        <w:outlineLvl w:val="9"/>
        <w:rPr>
          <w:rFonts w:hint="eastAsia" w:ascii="宋体" w:hAnsi="宋体" w:eastAsia="宋体" w:cs="宋体"/>
          <w:b/>
          <w:bCs/>
          <w:color w:val="auto"/>
          <w:spacing w:val="12"/>
          <w:sz w:val="28"/>
          <w:szCs w:val="28"/>
          <w:highlight w:val="none"/>
        </w:rPr>
      </w:pPr>
      <w:r>
        <w:rPr>
          <w:rFonts w:hint="eastAsia" w:ascii="宋体" w:hAnsi="宋体" w:eastAsia="宋体" w:cs="宋体"/>
          <w:b/>
          <w:bCs/>
          <w:color w:val="auto"/>
          <w:spacing w:val="12"/>
          <w:sz w:val="28"/>
          <w:szCs w:val="28"/>
          <w:highlight w:val="none"/>
          <w:lang w:val="en-US" w:eastAsia="zh-CN"/>
        </w:rPr>
        <w:t xml:space="preserve">7 </w:t>
      </w:r>
      <w:r>
        <w:rPr>
          <w:rFonts w:hint="eastAsia" w:ascii="宋体" w:hAnsi="宋体" w:eastAsia="宋体" w:cs="宋体"/>
          <w:b/>
          <w:bCs/>
          <w:color w:val="auto"/>
          <w:spacing w:val="12"/>
          <w:sz w:val="28"/>
          <w:szCs w:val="28"/>
          <w:highlight w:val="none"/>
        </w:rPr>
        <w:t>中标通知</w:t>
      </w:r>
    </w:p>
    <w:p>
      <w:pPr>
        <w:keepNext w:val="0"/>
        <w:keepLines w:val="0"/>
        <w:pageBreakBefore w:val="0"/>
        <w:widowControl/>
        <w:kinsoku w:val="0"/>
        <w:wordWrap/>
        <w:overflowPunct/>
        <w:topLinePunct w:val="0"/>
        <w:autoSpaceDE w:val="0"/>
        <w:autoSpaceDN w:val="0"/>
        <w:bidi w:val="0"/>
        <w:adjustRightInd/>
        <w:snapToGrid w:val="0"/>
        <w:spacing w:line="360" w:lineRule="auto"/>
        <w:ind w:left="0" w:leftChars="0" w:right="0" w:firstLine="608" w:firstLineChars="200"/>
        <w:textAlignment w:val="baseline"/>
        <w:outlineLvl w:val="9"/>
        <w:rPr>
          <w:rFonts w:hint="eastAsia" w:ascii="宋体" w:hAnsi="宋体" w:eastAsia="宋体" w:cs="宋体"/>
          <w:color w:val="auto"/>
          <w:spacing w:val="12"/>
          <w:sz w:val="28"/>
          <w:szCs w:val="28"/>
          <w:highlight w:val="none"/>
        </w:rPr>
      </w:pPr>
      <w:r>
        <w:rPr>
          <w:rFonts w:hint="eastAsia" w:ascii="宋体" w:hAnsi="宋体" w:eastAsia="宋体" w:cs="宋体"/>
          <w:color w:val="auto"/>
          <w:spacing w:val="12"/>
          <w:sz w:val="28"/>
          <w:szCs w:val="28"/>
          <w:highlight w:val="none"/>
        </w:rPr>
        <w:t>在投标有效期内，招标人</w:t>
      </w:r>
      <w:r>
        <w:rPr>
          <w:rFonts w:hint="eastAsia" w:ascii="宋体" w:hAnsi="宋体" w:eastAsia="宋体" w:cs="宋体"/>
          <w:color w:val="auto"/>
          <w:spacing w:val="12"/>
          <w:sz w:val="28"/>
          <w:szCs w:val="28"/>
          <w:highlight w:val="none"/>
          <w:lang w:val="en-US" w:eastAsia="zh-CN"/>
        </w:rPr>
        <w:t>通过</w:t>
      </w:r>
      <w:r>
        <w:rPr>
          <w:rFonts w:hint="eastAsia" w:ascii="宋体" w:hAnsi="宋体" w:eastAsia="宋体" w:cs="宋体"/>
          <w:color w:val="auto"/>
          <w:spacing w:val="12"/>
          <w:sz w:val="28"/>
          <w:szCs w:val="28"/>
          <w:highlight w:val="none"/>
          <w:lang w:eastAsia="zh-CN"/>
        </w:rPr>
        <w:t>电子采购平台</w:t>
      </w:r>
      <w:r>
        <w:rPr>
          <w:rFonts w:hint="eastAsia" w:ascii="宋体" w:hAnsi="宋体" w:eastAsia="宋体" w:cs="宋体"/>
          <w:color w:val="auto"/>
          <w:spacing w:val="12"/>
          <w:sz w:val="28"/>
          <w:szCs w:val="28"/>
          <w:highlight w:val="none"/>
        </w:rPr>
        <w:t>向中标人发出中标通知书</w:t>
      </w:r>
      <w:r>
        <w:rPr>
          <w:rFonts w:hint="eastAsia" w:ascii="宋体" w:hAnsi="宋体" w:eastAsia="宋体" w:cs="宋体"/>
          <w:color w:val="auto"/>
          <w:spacing w:val="-567"/>
          <w:sz w:val="28"/>
          <w:szCs w:val="28"/>
          <w:highlight w:val="none"/>
        </w:rPr>
        <w:t>。</w:t>
      </w:r>
    </w:p>
    <w:p>
      <w:pPr>
        <w:keepNext w:val="0"/>
        <w:keepLines w:val="0"/>
        <w:pageBreakBefore w:val="0"/>
        <w:widowControl/>
        <w:kinsoku w:val="0"/>
        <w:wordWrap/>
        <w:overflowPunct/>
        <w:topLinePunct w:val="0"/>
        <w:autoSpaceDE w:val="0"/>
        <w:autoSpaceDN w:val="0"/>
        <w:bidi w:val="0"/>
        <w:adjustRightInd/>
        <w:snapToGrid w:val="0"/>
        <w:spacing w:before="0" w:after="0" w:line="360" w:lineRule="auto"/>
        <w:ind w:left="0" w:leftChars="0" w:right="0" w:firstLine="0"/>
        <w:textAlignment w:val="baseline"/>
        <w:outlineLvl w:val="9"/>
        <w:rPr>
          <w:rFonts w:hint="eastAsia" w:ascii="宋体" w:hAnsi="宋体" w:eastAsia="宋体" w:cs="宋体"/>
          <w:b/>
          <w:bCs/>
          <w:color w:val="auto"/>
          <w:spacing w:val="12"/>
          <w:sz w:val="28"/>
          <w:szCs w:val="28"/>
          <w:highlight w:val="none"/>
          <w:lang w:eastAsia="zh-CN"/>
        </w:rPr>
      </w:pPr>
      <w:r>
        <w:rPr>
          <w:rFonts w:hint="eastAsia" w:ascii="宋体" w:hAnsi="宋体" w:eastAsia="宋体" w:cs="宋体"/>
          <w:b/>
          <w:bCs/>
          <w:color w:val="auto"/>
          <w:spacing w:val="12"/>
          <w:sz w:val="28"/>
          <w:szCs w:val="28"/>
          <w:highlight w:val="none"/>
          <w:lang w:val="en-US" w:eastAsia="zh-CN"/>
        </w:rPr>
        <w:t xml:space="preserve">8 </w:t>
      </w:r>
      <w:r>
        <w:rPr>
          <w:rFonts w:hint="eastAsia" w:ascii="宋体" w:hAnsi="宋体" w:eastAsia="宋体" w:cs="宋体"/>
          <w:b/>
          <w:bCs/>
          <w:color w:val="auto"/>
          <w:spacing w:val="12"/>
          <w:sz w:val="28"/>
          <w:szCs w:val="28"/>
          <w:highlight w:val="none"/>
        </w:rPr>
        <w:t>履约保证金</w:t>
      </w:r>
    </w:p>
    <w:p>
      <w:pPr>
        <w:keepNext w:val="0"/>
        <w:keepLines w:val="0"/>
        <w:pageBreakBefore w:val="0"/>
        <w:widowControl/>
        <w:kinsoku w:val="0"/>
        <w:wordWrap/>
        <w:overflowPunct/>
        <w:topLinePunct w:val="0"/>
        <w:autoSpaceDE w:val="0"/>
        <w:autoSpaceDN w:val="0"/>
        <w:bidi w:val="0"/>
        <w:adjustRightInd/>
        <w:snapToGrid w:val="0"/>
        <w:spacing w:line="360" w:lineRule="auto"/>
        <w:ind w:left="0" w:leftChars="0" w:right="0" w:firstLine="13"/>
        <w:textAlignment w:val="baseline"/>
        <w:outlineLvl w:val="9"/>
        <w:rPr>
          <w:rFonts w:hint="eastAsia" w:ascii="宋体" w:hAnsi="宋体" w:eastAsia="宋体" w:cs="宋体"/>
          <w:color w:val="auto"/>
          <w:spacing w:val="12"/>
          <w:sz w:val="28"/>
          <w:szCs w:val="28"/>
          <w:highlight w:val="none"/>
        </w:rPr>
      </w:pPr>
      <w:r>
        <w:rPr>
          <w:rFonts w:hint="eastAsia" w:ascii="宋体" w:hAnsi="宋体" w:eastAsia="宋体" w:cs="宋体"/>
          <w:color w:val="auto"/>
          <w:spacing w:val="12"/>
          <w:sz w:val="28"/>
          <w:szCs w:val="28"/>
          <w:highlight w:val="none"/>
          <w:lang w:val="en-US" w:eastAsia="zh-CN"/>
        </w:rPr>
        <w:t>8.</w:t>
      </w:r>
      <w:r>
        <w:rPr>
          <w:rFonts w:hint="eastAsia" w:ascii="宋体" w:hAnsi="宋体" w:eastAsia="宋体" w:cs="宋体"/>
          <w:color w:val="auto"/>
          <w:spacing w:val="12"/>
          <w:sz w:val="28"/>
          <w:szCs w:val="28"/>
          <w:highlight w:val="none"/>
        </w:rPr>
        <w:t>1</w:t>
      </w:r>
      <w:r>
        <w:rPr>
          <w:rFonts w:hint="eastAsia" w:ascii="宋体" w:hAnsi="宋体" w:eastAsia="宋体" w:cs="宋体"/>
          <w:color w:val="auto"/>
          <w:spacing w:val="12"/>
          <w:sz w:val="28"/>
          <w:szCs w:val="28"/>
          <w:highlight w:val="none"/>
          <w:lang w:val="en-US" w:eastAsia="zh-CN"/>
        </w:rPr>
        <w:t xml:space="preserve"> </w:t>
      </w:r>
      <w:r>
        <w:rPr>
          <w:rFonts w:hint="eastAsia" w:ascii="宋体" w:hAnsi="宋体" w:eastAsia="宋体" w:cs="宋体"/>
          <w:color w:val="auto"/>
          <w:spacing w:val="12"/>
          <w:sz w:val="28"/>
          <w:szCs w:val="28"/>
          <w:highlight w:val="none"/>
        </w:rPr>
        <w:t>签订合同前，中标人应按投标人须知前附表规定的形式、金额和招标文件“合同条款及格式”规定向招标人提交履约保证金。联合体中标的，其履约保证金以联合体各方或者联合体中牵头人的名义提交。</w:t>
      </w:r>
    </w:p>
    <w:p>
      <w:pPr>
        <w:keepNext w:val="0"/>
        <w:keepLines w:val="0"/>
        <w:pageBreakBefore w:val="0"/>
        <w:widowControl/>
        <w:kinsoku w:val="0"/>
        <w:wordWrap/>
        <w:overflowPunct/>
        <w:topLinePunct w:val="0"/>
        <w:autoSpaceDE w:val="0"/>
        <w:autoSpaceDN w:val="0"/>
        <w:bidi w:val="0"/>
        <w:adjustRightInd/>
        <w:snapToGrid w:val="0"/>
        <w:spacing w:line="360" w:lineRule="auto"/>
        <w:ind w:left="0" w:leftChars="0" w:right="0" w:firstLine="13"/>
        <w:textAlignment w:val="baseline"/>
        <w:outlineLvl w:val="9"/>
        <w:rPr>
          <w:rFonts w:hint="eastAsia" w:ascii="宋体" w:hAnsi="宋体" w:eastAsia="宋体" w:cs="宋体"/>
          <w:color w:val="auto"/>
          <w:spacing w:val="12"/>
          <w:sz w:val="28"/>
          <w:szCs w:val="28"/>
          <w:highlight w:val="none"/>
        </w:rPr>
      </w:pPr>
      <w:r>
        <w:rPr>
          <w:rFonts w:hint="eastAsia" w:ascii="宋体" w:hAnsi="宋体" w:eastAsia="宋体" w:cs="宋体"/>
          <w:color w:val="auto"/>
          <w:spacing w:val="12"/>
          <w:sz w:val="28"/>
          <w:szCs w:val="28"/>
          <w:highlight w:val="none"/>
          <w:lang w:val="en-US" w:eastAsia="zh-CN"/>
        </w:rPr>
        <w:t>8</w:t>
      </w:r>
      <w:r>
        <w:rPr>
          <w:rFonts w:hint="eastAsia" w:ascii="宋体" w:hAnsi="宋体" w:eastAsia="宋体" w:cs="宋体"/>
          <w:color w:val="auto"/>
          <w:spacing w:val="12"/>
          <w:sz w:val="28"/>
          <w:szCs w:val="28"/>
          <w:highlight w:val="none"/>
        </w:rPr>
        <w:t>.2</w:t>
      </w:r>
      <w:r>
        <w:rPr>
          <w:rFonts w:hint="eastAsia" w:ascii="宋体" w:hAnsi="宋体" w:eastAsia="宋体" w:cs="宋体"/>
          <w:color w:val="auto"/>
          <w:spacing w:val="12"/>
          <w:sz w:val="28"/>
          <w:szCs w:val="28"/>
          <w:highlight w:val="none"/>
          <w:lang w:val="en-US" w:eastAsia="zh-CN"/>
        </w:rPr>
        <w:t xml:space="preserve"> </w:t>
      </w:r>
      <w:r>
        <w:rPr>
          <w:rFonts w:hint="eastAsia" w:ascii="宋体" w:hAnsi="宋体" w:eastAsia="宋体" w:cs="宋体"/>
          <w:color w:val="auto"/>
          <w:spacing w:val="12"/>
          <w:sz w:val="28"/>
          <w:szCs w:val="28"/>
          <w:highlight w:val="none"/>
        </w:rPr>
        <w:t>中标人不能按本章要求提交履约保证金的，视为放弃中标，其投标保证金不予退还，给招标人造成的损失超过投标保证金数额的，中标人还应当对超过部分予以赔偿。</w:t>
      </w:r>
    </w:p>
    <w:p>
      <w:pPr>
        <w:keepNext w:val="0"/>
        <w:keepLines w:val="0"/>
        <w:pageBreakBefore w:val="0"/>
        <w:widowControl/>
        <w:kinsoku w:val="0"/>
        <w:wordWrap/>
        <w:overflowPunct/>
        <w:topLinePunct w:val="0"/>
        <w:autoSpaceDE w:val="0"/>
        <w:autoSpaceDN w:val="0"/>
        <w:bidi w:val="0"/>
        <w:adjustRightInd/>
        <w:snapToGrid w:val="0"/>
        <w:spacing w:before="0" w:after="0" w:line="360" w:lineRule="auto"/>
        <w:ind w:left="0" w:leftChars="0" w:right="0" w:firstLine="0"/>
        <w:textAlignment w:val="baseline"/>
        <w:outlineLvl w:val="9"/>
        <w:rPr>
          <w:rFonts w:hint="eastAsia" w:ascii="宋体" w:hAnsi="宋体" w:eastAsia="宋体" w:cs="宋体"/>
          <w:b/>
          <w:bCs/>
          <w:color w:val="FF0000"/>
          <w:spacing w:val="12"/>
          <w:sz w:val="28"/>
          <w:szCs w:val="28"/>
          <w:highlight w:val="none"/>
        </w:rPr>
      </w:pPr>
      <w:r>
        <w:rPr>
          <w:rFonts w:hint="eastAsia" w:ascii="宋体" w:hAnsi="宋体" w:eastAsia="宋体" w:cs="宋体"/>
          <w:b/>
          <w:bCs/>
          <w:color w:val="FF0000"/>
          <w:spacing w:val="12"/>
          <w:sz w:val="28"/>
          <w:szCs w:val="28"/>
          <w:highlight w:val="none"/>
          <w:lang w:val="en-US" w:eastAsia="zh-CN"/>
        </w:rPr>
        <w:t xml:space="preserve">9 </w:t>
      </w:r>
      <w:r>
        <w:rPr>
          <w:rFonts w:hint="eastAsia" w:ascii="宋体" w:hAnsi="宋体" w:eastAsia="宋体" w:cs="宋体"/>
          <w:b/>
          <w:bCs/>
          <w:color w:val="FF0000"/>
          <w:spacing w:val="12"/>
          <w:sz w:val="28"/>
          <w:szCs w:val="28"/>
          <w:highlight w:val="none"/>
        </w:rPr>
        <w:t>签订合同</w:t>
      </w:r>
    </w:p>
    <w:p>
      <w:pPr>
        <w:keepNext w:val="0"/>
        <w:keepLines w:val="0"/>
        <w:pageBreakBefore w:val="0"/>
        <w:widowControl/>
        <w:kinsoku w:val="0"/>
        <w:wordWrap/>
        <w:overflowPunct/>
        <w:topLinePunct w:val="0"/>
        <w:autoSpaceDE w:val="0"/>
        <w:autoSpaceDN w:val="0"/>
        <w:bidi w:val="0"/>
        <w:adjustRightInd/>
        <w:snapToGrid w:val="0"/>
        <w:spacing w:line="360" w:lineRule="auto"/>
        <w:ind w:left="0" w:leftChars="0" w:right="0" w:firstLine="13"/>
        <w:textAlignment w:val="baseline"/>
        <w:outlineLvl w:val="9"/>
        <w:rPr>
          <w:rFonts w:hint="eastAsia" w:ascii="宋体" w:hAnsi="宋体" w:eastAsia="宋体" w:cs="宋体"/>
          <w:color w:val="FF0000"/>
          <w:spacing w:val="12"/>
          <w:sz w:val="28"/>
          <w:szCs w:val="28"/>
          <w:highlight w:val="yellow"/>
        </w:rPr>
      </w:pPr>
      <w:r>
        <w:rPr>
          <w:rFonts w:hint="eastAsia" w:ascii="宋体" w:hAnsi="宋体" w:eastAsia="宋体" w:cs="宋体"/>
          <w:color w:val="FF0000"/>
          <w:spacing w:val="12"/>
          <w:sz w:val="28"/>
          <w:szCs w:val="28"/>
          <w:highlight w:val="none"/>
          <w:lang w:val="en-US" w:eastAsia="zh-CN"/>
        </w:rPr>
        <w:t>9</w:t>
      </w:r>
      <w:r>
        <w:rPr>
          <w:rFonts w:hint="eastAsia" w:ascii="宋体" w:hAnsi="宋体" w:eastAsia="宋体" w:cs="宋体"/>
          <w:color w:val="FF0000"/>
          <w:spacing w:val="12"/>
          <w:sz w:val="28"/>
          <w:szCs w:val="28"/>
          <w:highlight w:val="none"/>
        </w:rPr>
        <w:t>.1</w:t>
      </w:r>
      <w:r>
        <w:rPr>
          <w:rFonts w:hint="eastAsia" w:ascii="宋体" w:hAnsi="宋体" w:eastAsia="宋体" w:cs="宋体"/>
          <w:color w:val="FF0000"/>
          <w:spacing w:val="12"/>
          <w:sz w:val="28"/>
          <w:szCs w:val="28"/>
          <w:highlight w:val="none"/>
          <w:lang w:val="en-US" w:eastAsia="zh-CN"/>
        </w:rPr>
        <w:t xml:space="preserve"> </w:t>
      </w:r>
      <w:r>
        <w:rPr>
          <w:rFonts w:hint="eastAsia" w:ascii="宋体" w:hAnsi="宋体" w:cs="宋体"/>
          <w:color w:val="FF0000"/>
          <w:spacing w:val="12"/>
          <w:sz w:val="28"/>
          <w:szCs w:val="28"/>
          <w:highlight w:val="none"/>
          <w:lang w:val="en-US" w:eastAsia="zh-CN"/>
        </w:rPr>
        <w:t>招标人</w:t>
      </w:r>
      <w:r>
        <w:rPr>
          <w:rFonts w:hint="eastAsia" w:ascii="宋体" w:hAnsi="宋体" w:eastAsia="宋体" w:cs="宋体"/>
          <w:color w:val="FF0000"/>
          <w:spacing w:val="12"/>
          <w:sz w:val="28"/>
          <w:szCs w:val="28"/>
          <w:highlight w:val="yellow"/>
        </w:rPr>
        <w:t>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keepNext w:val="0"/>
        <w:keepLines w:val="0"/>
        <w:pageBreakBefore w:val="0"/>
        <w:widowControl/>
        <w:kinsoku w:val="0"/>
        <w:wordWrap/>
        <w:overflowPunct/>
        <w:topLinePunct w:val="0"/>
        <w:autoSpaceDE w:val="0"/>
        <w:autoSpaceDN w:val="0"/>
        <w:bidi w:val="0"/>
        <w:adjustRightInd/>
        <w:snapToGrid w:val="0"/>
        <w:spacing w:line="360" w:lineRule="auto"/>
        <w:ind w:left="0" w:leftChars="0" w:right="0" w:firstLine="13"/>
        <w:textAlignment w:val="baseline"/>
        <w:outlineLvl w:val="9"/>
        <w:rPr>
          <w:rFonts w:hint="eastAsia" w:ascii="宋体" w:hAnsi="宋体" w:eastAsia="宋体" w:cs="宋体"/>
          <w:color w:val="auto"/>
          <w:spacing w:val="12"/>
          <w:sz w:val="28"/>
          <w:szCs w:val="28"/>
          <w:highlight w:val="none"/>
        </w:rPr>
      </w:pPr>
      <w:r>
        <w:rPr>
          <w:rFonts w:hint="eastAsia" w:ascii="宋体" w:hAnsi="宋体" w:eastAsia="宋体" w:cs="宋体"/>
          <w:color w:val="auto"/>
          <w:spacing w:val="12"/>
          <w:sz w:val="28"/>
          <w:szCs w:val="28"/>
          <w:highlight w:val="none"/>
          <w:lang w:val="en-US" w:eastAsia="zh-CN"/>
        </w:rPr>
        <w:t>9</w:t>
      </w:r>
      <w:r>
        <w:rPr>
          <w:rFonts w:hint="eastAsia" w:ascii="宋体" w:hAnsi="宋体" w:eastAsia="宋体" w:cs="宋体"/>
          <w:color w:val="auto"/>
          <w:spacing w:val="12"/>
          <w:sz w:val="28"/>
          <w:szCs w:val="28"/>
          <w:highlight w:val="none"/>
        </w:rPr>
        <w:t>.2</w:t>
      </w:r>
      <w:r>
        <w:rPr>
          <w:rFonts w:hint="eastAsia" w:ascii="宋体" w:hAnsi="宋体" w:eastAsia="宋体" w:cs="宋体"/>
          <w:color w:val="auto"/>
          <w:spacing w:val="12"/>
          <w:sz w:val="28"/>
          <w:szCs w:val="28"/>
          <w:highlight w:val="none"/>
          <w:lang w:val="en-US" w:eastAsia="zh-CN"/>
        </w:rPr>
        <w:t xml:space="preserve"> </w:t>
      </w:r>
      <w:r>
        <w:rPr>
          <w:rFonts w:hint="eastAsia" w:ascii="宋体" w:hAnsi="宋体" w:eastAsia="宋体" w:cs="宋体"/>
          <w:color w:val="auto"/>
          <w:spacing w:val="12"/>
          <w:sz w:val="28"/>
          <w:szCs w:val="28"/>
          <w:highlight w:val="none"/>
        </w:rPr>
        <w:t>发出中标通知书后，</w:t>
      </w:r>
      <w:r>
        <w:rPr>
          <w:rFonts w:hint="eastAsia" w:ascii="宋体" w:hAnsi="宋体" w:eastAsia="宋体" w:cs="宋体"/>
          <w:color w:val="FF0000"/>
          <w:spacing w:val="12"/>
          <w:sz w:val="28"/>
          <w:szCs w:val="28"/>
          <w:highlight w:val="yellow"/>
        </w:rPr>
        <w:t>招标人无正当理由拒签合同，或者在签订合同时向中标人提出附加条件的，招标人向中标人退还投标保证金；给中标人造成损失的，还应当赔偿损失。</w:t>
      </w:r>
    </w:p>
    <w:p>
      <w:pPr>
        <w:keepNext w:val="0"/>
        <w:keepLines w:val="0"/>
        <w:pageBreakBefore w:val="0"/>
        <w:widowControl/>
        <w:kinsoku w:val="0"/>
        <w:wordWrap/>
        <w:overflowPunct/>
        <w:topLinePunct w:val="0"/>
        <w:autoSpaceDE w:val="0"/>
        <w:autoSpaceDN w:val="0"/>
        <w:bidi w:val="0"/>
        <w:adjustRightInd/>
        <w:snapToGrid w:val="0"/>
        <w:spacing w:line="360" w:lineRule="auto"/>
        <w:ind w:left="0" w:leftChars="0" w:right="0" w:firstLine="13"/>
        <w:textAlignment w:val="baseline"/>
        <w:outlineLvl w:val="9"/>
        <w:rPr>
          <w:rFonts w:hint="eastAsia"/>
          <w:sz w:val="28"/>
          <w:szCs w:val="28"/>
        </w:rPr>
      </w:pPr>
      <w:r>
        <w:rPr>
          <w:rFonts w:hint="eastAsia" w:ascii="宋体" w:hAnsi="宋体" w:eastAsia="宋体" w:cs="宋体"/>
          <w:color w:val="auto"/>
          <w:spacing w:val="12"/>
          <w:sz w:val="28"/>
          <w:szCs w:val="28"/>
          <w:highlight w:val="none"/>
          <w:lang w:val="en-US" w:eastAsia="zh-CN"/>
        </w:rPr>
        <w:t>9</w:t>
      </w:r>
      <w:r>
        <w:rPr>
          <w:rFonts w:hint="eastAsia" w:ascii="宋体" w:hAnsi="宋体" w:eastAsia="宋体" w:cs="宋体"/>
          <w:color w:val="auto"/>
          <w:spacing w:val="12"/>
          <w:sz w:val="28"/>
          <w:szCs w:val="28"/>
          <w:highlight w:val="none"/>
        </w:rPr>
        <w:t>.3</w:t>
      </w:r>
      <w:r>
        <w:rPr>
          <w:rFonts w:hint="eastAsia" w:ascii="宋体" w:hAnsi="宋体" w:eastAsia="宋体" w:cs="宋体"/>
          <w:color w:val="auto"/>
          <w:spacing w:val="12"/>
          <w:sz w:val="28"/>
          <w:szCs w:val="28"/>
          <w:highlight w:val="none"/>
          <w:lang w:val="en-US" w:eastAsia="zh-CN"/>
        </w:rPr>
        <w:t xml:space="preserve"> </w:t>
      </w:r>
      <w:r>
        <w:rPr>
          <w:rFonts w:hint="eastAsia" w:ascii="宋体" w:hAnsi="宋体" w:eastAsia="宋体" w:cs="宋体"/>
          <w:color w:val="auto"/>
          <w:spacing w:val="12"/>
          <w:sz w:val="28"/>
          <w:szCs w:val="28"/>
          <w:highlight w:val="none"/>
        </w:rPr>
        <w:t>联合体中标的，联合体各方应当共同与招标人签订合同，就中标项目向招标人承担连带责任。</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b/>
          <w:color w:val="auto"/>
          <w:sz w:val="28"/>
          <w:szCs w:val="28"/>
          <w:highlight w:val="none"/>
        </w:rPr>
      </w:pPr>
      <w:r>
        <w:rPr>
          <w:rFonts w:hint="eastAsia" w:ascii="宋体" w:hAnsi="宋体"/>
          <w:b/>
          <w:color w:val="auto"/>
          <w:sz w:val="28"/>
          <w:szCs w:val="28"/>
          <w:highlight w:val="none"/>
          <w:lang w:val="en-US" w:eastAsia="zh-CN"/>
        </w:rPr>
        <w:t>10</w:t>
      </w:r>
      <w:r>
        <w:rPr>
          <w:rFonts w:hint="eastAsia" w:ascii="宋体" w:hAnsi="宋体"/>
          <w:b/>
          <w:color w:val="auto"/>
          <w:sz w:val="28"/>
          <w:szCs w:val="28"/>
          <w:highlight w:val="none"/>
        </w:rPr>
        <w:t>. 保密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lang w:val="en-US" w:eastAsia="zh-CN"/>
        </w:rPr>
        <w:t>10</w:t>
      </w:r>
      <w:r>
        <w:rPr>
          <w:rFonts w:hint="eastAsia" w:ascii="宋体" w:hAnsi="宋体"/>
          <w:color w:val="auto"/>
          <w:sz w:val="28"/>
          <w:szCs w:val="28"/>
          <w:highlight w:val="none"/>
        </w:rPr>
        <w:t>.1 有关投标人的任何情况均不透露给任一投标人。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color w:val="auto"/>
          <w:sz w:val="28"/>
          <w:szCs w:val="28"/>
          <w:highlight w:val="none"/>
        </w:rPr>
      </w:pPr>
      <w:r>
        <w:rPr>
          <w:rFonts w:hint="eastAsia" w:ascii="宋体" w:hAnsi="宋体"/>
          <w:color w:val="auto"/>
          <w:sz w:val="28"/>
          <w:szCs w:val="28"/>
          <w:highlight w:val="none"/>
          <w:lang w:val="en-US" w:eastAsia="zh-CN"/>
        </w:rPr>
        <w:t>10</w:t>
      </w:r>
      <w:r>
        <w:rPr>
          <w:rFonts w:hint="eastAsia" w:ascii="宋体" w:hAnsi="宋体"/>
          <w:color w:val="auto"/>
          <w:sz w:val="28"/>
          <w:szCs w:val="28"/>
          <w:highlight w:val="none"/>
        </w:rPr>
        <w:t>.2 凡是属于审查、澄清、评价和比较的有关资料以及授权建议等均不得向投标人或其他无关的人员透露。</w:t>
      </w:r>
    </w:p>
    <w:p>
      <w:pPr>
        <w:pStyle w:val="24"/>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hAnsi="宋体"/>
          <w:color w:val="auto"/>
          <w:sz w:val="28"/>
          <w:szCs w:val="28"/>
          <w:highlight w:val="none"/>
        </w:rPr>
      </w:pPr>
      <w:r>
        <w:rPr>
          <w:rFonts w:hint="eastAsia" w:hAnsi="宋体"/>
          <w:color w:val="auto"/>
          <w:sz w:val="28"/>
          <w:szCs w:val="28"/>
          <w:highlight w:val="none"/>
          <w:lang w:val="en-US" w:eastAsia="zh-CN"/>
        </w:rPr>
        <w:t>10</w:t>
      </w:r>
      <w:r>
        <w:rPr>
          <w:rFonts w:hint="eastAsia" w:hAnsi="宋体"/>
          <w:color w:val="auto"/>
          <w:sz w:val="28"/>
          <w:szCs w:val="28"/>
          <w:highlight w:val="none"/>
        </w:rPr>
        <w:t>.3 在评标过程中，投标人所进行的试图影响评标结果的不符合招标规定的努力，将会导致其被取消中标资格。</w:t>
      </w: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pStyle w:val="24"/>
        <w:pageBreakBefore w:val="0"/>
        <w:kinsoku/>
        <w:wordWrap/>
        <w:overflowPunct/>
        <w:topLinePunct w:val="0"/>
        <w:bidi w:val="0"/>
        <w:spacing w:line="240" w:lineRule="auto"/>
        <w:jc w:val="left"/>
        <w:rPr>
          <w:rFonts w:hint="eastAsia" w:hAnsi="宋体"/>
          <w:color w:val="auto"/>
          <w:sz w:val="28"/>
          <w:szCs w:val="28"/>
          <w:highlight w:val="none"/>
        </w:rPr>
      </w:pPr>
    </w:p>
    <w:p>
      <w:pPr>
        <w:tabs>
          <w:tab w:val="left" w:pos="1440"/>
        </w:tabs>
        <w:spacing w:line="360" w:lineRule="auto"/>
        <w:outlineLvl w:val="1"/>
        <w:rPr>
          <w:rFonts w:hint="eastAsia" w:ascii="仿宋_GB2312" w:hAnsi="宋体" w:eastAsia="仿宋_GB2312"/>
          <w:b/>
          <w:color w:val="auto"/>
          <w:sz w:val="28"/>
          <w:szCs w:val="28"/>
          <w:highlight w:val="none"/>
        </w:rPr>
      </w:pPr>
      <w:r>
        <w:rPr>
          <w:rFonts w:hint="eastAsia" w:ascii="仿宋_GB2312" w:hAnsi="宋体" w:eastAsia="仿宋_GB2312"/>
          <w:b/>
          <w:color w:val="auto"/>
          <w:sz w:val="28"/>
          <w:szCs w:val="28"/>
          <w:highlight w:val="none"/>
        </w:rPr>
        <w:t>附表：各项评分标准</w:t>
      </w:r>
    </w:p>
    <w:tbl>
      <w:tblPr>
        <w:tblStyle w:val="60"/>
        <w:tblW w:w="98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152"/>
        <w:gridCol w:w="5116"/>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trPr>
        <w:tc>
          <w:tcPr>
            <w:tcW w:w="978"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综合</w:t>
            </w:r>
          </w:p>
          <w:p>
            <w:pPr>
              <w:keepNext w:val="0"/>
              <w:keepLines w:val="0"/>
              <w:suppressLineNumbers w:val="0"/>
              <w:spacing w:before="0" w:beforeAutospacing="0" w:after="0" w:afterAutospacing="0"/>
              <w:ind w:left="0" w:right="0"/>
              <w:jc w:val="center"/>
              <w:rPr>
                <w:rFonts w:hint="eastAsia" w:ascii="宋体" w:hAnsi="宋体" w:eastAsia="宋体" w:cs="宋体"/>
                <w:color w:val="0000FF"/>
                <w:sz w:val="21"/>
                <w:szCs w:val="21"/>
              </w:rPr>
            </w:pPr>
            <w:r>
              <w:rPr>
                <w:rFonts w:hint="eastAsia" w:ascii="宋体" w:hAnsi="宋体" w:eastAsia="宋体" w:cs="宋体"/>
                <w:b/>
                <w:bCs/>
                <w:color w:val="0000FF"/>
                <w:sz w:val="21"/>
                <w:szCs w:val="21"/>
              </w:rPr>
              <w:t>评分法</w:t>
            </w:r>
          </w:p>
        </w:tc>
        <w:tc>
          <w:tcPr>
            <w:tcW w:w="215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FF"/>
                <w:sz w:val="21"/>
                <w:szCs w:val="21"/>
              </w:rPr>
            </w:pPr>
            <w:r>
              <w:rPr>
                <w:rFonts w:hint="eastAsia" w:ascii="宋体" w:hAnsi="宋体" w:eastAsia="宋体" w:cs="宋体"/>
                <w:b/>
                <w:color w:val="0000FF"/>
                <w:sz w:val="21"/>
                <w:szCs w:val="21"/>
              </w:rPr>
              <w:t>评分因素</w:t>
            </w:r>
          </w:p>
        </w:tc>
        <w:tc>
          <w:tcPr>
            <w:tcW w:w="6706" w:type="dxa"/>
            <w:gridSpan w:val="2"/>
            <w:vAlign w:val="center"/>
          </w:tcPr>
          <w:p>
            <w:pPr>
              <w:keepNext w:val="0"/>
              <w:keepLines w:val="0"/>
              <w:suppressLineNumbers w:val="0"/>
              <w:spacing w:before="0" w:beforeAutospacing="0" w:after="0" w:afterAutospacing="0"/>
              <w:ind w:left="0" w:right="0" w:firstLine="422" w:firstLineChars="200"/>
              <w:jc w:val="center"/>
              <w:rPr>
                <w:rFonts w:hint="eastAsia" w:ascii="宋体" w:hAnsi="宋体" w:eastAsia="宋体" w:cs="宋体"/>
                <w:snapToGrid w:val="0"/>
                <w:color w:val="0000FF"/>
                <w:kern w:val="0"/>
                <w:sz w:val="21"/>
                <w:szCs w:val="21"/>
              </w:rPr>
            </w:pPr>
            <w:r>
              <w:rPr>
                <w:rFonts w:hint="eastAsia" w:ascii="宋体" w:hAnsi="宋体" w:eastAsia="宋体" w:cs="宋体"/>
                <w:b/>
                <w:color w:val="0000FF"/>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 w:hRule="atLeast"/>
        </w:trPr>
        <w:tc>
          <w:tcPr>
            <w:tcW w:w="978"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val="0"/>
                <w:color w:val="0000FF"/>
                <w:sz w:val="21"/>
                <w:szCs w:val="21"/>
                <w:highlight w:val="none"/>
              </w:rPr>
            </w:pPr>
            <w:r>
              <w:rPr>
                <w:rFonts w:hint="eastAsia" w:ascii="宋体" w:hAnsi="宋体" w:eastAsia="宋体" w:cs="宋体"/>
                <w:b w:val="0"/>
                <w:bCs w:val="0"/>
                <w:color w:val="0000FF"/>
                <w:sz w:val="21"/>
                <w:szCs w:val="21"/>
                <w:highlight w:val="none"/>
              </w:rPr>
              <w:t>价格评分标准</w:t>
            </w:r>
          </w:p>
        </w:tc>
        <w:tc>
          <w:tcPr>
            <w:tcW w:w="2152"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val="0"/>
                <w:color w:val="0000FF"/>
                <w:sz w:val="21"/>
                <w:szCs w:val="21"/>
                <w:highlight w:val="none"/>
              </w:rPr>
            </w:pPr>
            <w:r>
              <w:rPr>
                <w:rFonts w:hint="eastAsia" w:ascii="宋体" w:hAnsi="宋体" w:eastAsia="宋体" w:cs="宋体"/>
                <w:b w:val="0"/>
                <w:bCs w:val="0"/>
                <w:color w:val="auto"/>
                <w:sz w:val="21"/>
                <w:szCs w:val="21"/>
                <w:highlight w:val="none"/>
              </w:rPr>
              <w:t>投标报价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40分</w:t>
            </w:r>
            <w:r>
              <w:rPr>
                <w:rFonts w:hint="eastAsia" w:ascii="宋体" w:hAnsi="宋体" w:eastAsia="宋体" w:cs="宋体"/>
                <w:b w:val="0"/>
                <w:bCs w:val="0"/>
                <w:color w:val="auto"/>
                <w:sz w:val="21"/>
                <w:szCs w:val="21"/>
                <w:highlight w:val="none"/>
                <w:lang w:eastAsia="zh-CN"/>
              </w:rPr>
              <w:t>）</w:t>
            </w:r>
          </w:p>
        </w:tc>
        <w:tc>
          <w:tcPr>
            <w:tcW w:w="5116"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b w:val="0"/>
                <w:bCs w:val="0"/>
                <w:color w:val="0000FF"/>
                <w:sz w:val="21"/>
                <w:szCs w:val="21"/>
                <w:highlight w:val="none"/>
                <w:lang w:eastAsia="zh-CN"/>
              </w:rPr>
            </w:pPr>
            <w:r>
              <w:rPr>
                <w:rFonts w:hint="eastAsia" w:ascii="宋体" w:hAnsi="宋体" w:eastAsia="宋体" w:cs="宋体"/>
                <w:b w:val="0"/>
                <w:bCs w:val="0"/>
                <w:color w:val="0000FF"/>
                <w:sz w:val="21"/>
                <w:szCs w:val="21"/>
                <w:highlight w:val="none"/>
              </w:rPr>
              <w:t>根据投标报价高低排序，投标价格最低的排第一名，得满分；排名每靠后一位减（5）分。</w:t>
            </w:r>
          </w:p>
        </w:tc>
        <w:tc>
          <w:tcPr>
            <w:tcW w:w="159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val="0"/>
                <w:color w:val="0000FF"/>
                <w:sz w:val="21"/>
                <w:szCs w:val="21"/>
                <w:highlight w:val="none"/>
                <w:lang w:val="en-US" w:eastAsia="zh-CN"/>
              </w:rPr>
            </w:pPr>
            <w:r>
              <w:rPr>
                <w:rFonts w:hint="eastAsia" w:ascii="宋体" w:hAnsi="宋体" w:eastAsia="宋体" w:cs="宋体"/>
                <w:b w:val="0"/>
                <w:bCs w:val="0"/>
                <w:color w:val="0000FF"/>
                <w:sz w:val="21"/>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 w:hRule="atLeast"/>
        </w:trPr>
        <w:tc>
          <w:tcPr>
            <w:tcW w:w="978" w:type="dxa"/>
            <w:vMerge w:val="restart"/>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r>
              <w:rPr>
                <w:rFonts w:hint="eastAsia" w:ascii="宋体" w:hAnsi="宋体" w:eastAsia="宋体" w:cs="宋体"/>
                <w:color w:val="0000FF"/>
                <w:sz w:val="21"/>
                <w:szCs w:val="21"/>
              </w:rPr>
              <w:t>商务评分标准</w:t>
            </w:r>
          </w:p>
        </w:tc>
        <w:tc>
          <w:tcPr>
            <w:tcW w:w="2152" w:type="dxa"/>
            <w:vMerge w:val="restart"/>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r>
              <w:rPr>
                <w:rFonts w:hint="eastAsia" w:ascii="宋体" w:hAnsi="宋体" w:eastAsia="宋体" w:cs="宋体"/>
                <w:color w:val="0000FF"/>
                <w:sz w:val="21"/>
                <w:szCs w:val="21"/>
              </w:rPr>
              <w:t>履约及售后服务能力（业绩）（20分）</w:t>
            </w:r>
          </w:p>
        </w:tc>
        <w:tc>
          <w:tcPr>
            <w:tcW w:w="5116"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snapToGrid w:val="0"/>
                <w:color w:val="0000FF"/>
                <w:kern w:val="0"/>
                <w:sz w:val="21"/>
                <w:szCs w:val="21"/>
                <w:lang w:val="en-US" w:eastAsia="zh-CN"/>
              </w:rPr>
            </w:pPr>
            <w:r>
              <w:rPr>
                <w:rFonts w:hint="eastAsia" w:ascii="宋体" w:hAnsi="宋体" w:eastAsia="宋体" w:cs="宋体"/>
                <w:color w:val="0000FF"/>
                <w:sz w:val="21"/>
                <w:szCs w:val="21"/>
                <w:lang w:eastAsia="zh-CN"/>
              </w:rPr>
              <w:t>有相同或类似产品交货业绩，公司信誉</w:t>
            </w:r>
            <w:r>
              <w:rPr>
                <w:rFonts w:hint="eastAsia" w:ascii="宋体" w:hAnsi="宋体" w:eastAsia="宋体" w:cs="宋体"/>
                <w:color w:val="0000FF"/>
                <w:sz w:val="21"/>
                <w:szCs w:val="21"/>
                <w:lang w:val="en-US" w:eastAsia="zh-CN"/>
              </w:rPr>
              <w:t>好</w:t>
            </w:r>
            <w:r>
              <w:rPr>
                <w:rFonts w:hint="eastAsia" w:ascii="宋体" w:hAnsi="宋体" w:eastAsia="宋体" w:cs="宋体"/>
                <w:color w:val="0000FF"/>
                <w:sz w:val="21"/>
                <w:szCs w:val="21"/>
                <w:lang w:eastAsia="zh-CN"/>
              </w:rPr>
              <w:t>，商务配合</w:t>
            </w:r>
            <w:r>
              <w:rPr>
                <w:rFonts w:hint="eastAsia" w:ascii="宋体" w:hAnsi="宋体" w:eastAsia="宋体" w:cs="宋体"/>
                <w:color w:val="0000FF"/>
                <w:sz w:val="21"/>
                <w:szCs w:val="21"/>
                <w:lang w:val="en-US" w:eastAsia="zh-CN"/>
              </w:rPr>
              <w:t>度高得5分，其他酌情减分</w:t>
            </w:r>
          </w:p>
        </w:tc>
        <w:tc>
          <w:tcPr>
            <w:tcW w:w="159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r>
              <w:rPr>
                <w:rFonts w:hint="eastAsia" w:ascii="宋体" w:hAnsi="宋体" w:eastAsia="宋体" w:cs="宋体"/>
                <w:color w:val="0000FF"/>
                <w:sz w:val="21"/>
                <w:szCs w:val="21"/>
                <w:lang w:val="en-US" w:eastAsia="zh-CN"/>
              </w:rPr>
              <w:t>0-5</w:t>
            </w:r>
            <w:r>
              <w:rPr>
                <w:rFonts w:hint="eastAsia" w:ascii="宋体" w:hAnsi="宋体" w:eastAsia="宋体" w:cs="宋体"/>
                <w:color w:val="0000FF"/>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4" w:hRule="atLeast"/>
        </w:trPr>
        <w:tc>
          <w:tcPr>
            <w:tcW w:w="978"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p>
        </w:tc>
        <w:tc>
          <w:tcPr>
            <w:tcW w:w="2152"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p>
        </w:tc>
        <w:tc>
          <w:tcPr>
            <w:tcW w:w="5116"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eastAsia="zh-CN"/>
              </w:rPr>
              <w:t>投标文件</w:t>
            </w:r>
            <w:r>
              <w:rPr>
                <w:rFonts w:hint="eastAsia" w:ascii="宋体" w:hAnsi="宋体" w:eastAsia="宋体" w:cs="宋体"/>
                <w:color w:val="0000FF"/>
                <w:sz w:val="21"/>
                <w:szCs w:val="21"/>
                <w:lang w:val="en-US" w:eastAsia="zh-CN"/>
              </w:rPr>
              <w:t>质量及是否存在偏离项，文件质量好且完全</w:t>
            </w:r>
            <w:r>
              <w:rPr>
                <w:rFonts w:hint="eastAsia" w:ascii="宋体" w:hAnsi="宋体" w:eastAsia="宋体" w:cs="宋体"/>
                <w:color w:val="0000FF"/>
                <w:sz w:val="21"/>
                <w:szCs w:val="21"/>
                <w:lang w:eastAsia="zh-CN"/>
              </w:rPr>
              <w:t>响应</w:t>
            </w:r>
            <w:r>
              <w:rPr>
                <w:rFonts w:hint="eastAsia" w:ascii="宋体" w:hAnsi="宋体" w:eastAsia="宋体" w:cs="宋体"/>
                <w:color w:val="0000FF"/>
                <w:sz w:val="21"/>
                <w:szCs w:val="21"/>
                <w:lang w:val="en-US" w:eastAsia="zh-CN"/>
              </w:rPr>
              <w:t>得5分，其他酌情减分</w:t>
            </w:r>
          </w:p>
        </w:tc>
        <w:tc>
          <w:tcPr>
            <w:tcW w:w="159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r>
              <w:rPr>
                <w:rFonts w:hint="eastAsia" w:ascii="宋体" w:hAnsi="宋体" w:eastAsia="宋体" w:cs="宋体"/>
                <w:color w:val="0000FF"/>
                <w:sz w:val="21"/>
                <w:szCs w:val="21"/>
                <w:lang w:val="en-US" w:eastAsia="zh-CN"/>
              </w:rPr>
              <w:t>0-5</w:t>
            </w:r>
            <w:r>
              <w:rPr>
                <w:rFonts w:hint="eastAsia" w:ascii="宋体" w:hAnsi="宋体" w:eastAsia="宋体" w:cs="宋体"/>
                <w:color w:val="0000FF"/>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4" w:hRule="atLeast"/>
        </w:trPr>
        <w:tc>
          <w:tcPr>
            <w:tcW w:w="978"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p>
        </w:tc>
        <w:tc>
          <w:tcPr>
            <w:tcW w:w="2152"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p>
        </w:tc>
        <w:tc>
          <w:tcPr>
            <w:tcW w:w="5116"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eastAsia="zh-CN"/>
              </w:rPr>
              <w:t>交付及时</w:t>
            </w:r>
            <w:r>
              <w:rPr>
                <w:rFonts w:hint="eastAsia" w:ascii="宋体" w:hAnsi="宋体" w:eastAsia="宋体" w:cs="宋体"/>
                <w:color w:val="0000FF"/>
                <w:sz w:val="21"/>
                <w:szCs w:val="21"/>
                <w:lang w:val="en-US" w:eastAsia="zh-CN"/>
              </w:rPr>
              <w:t>率、售后能力及配合度；</w:t>
            </w:r>
          </w:p>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优秀7-10分；良好4-6分；一般0-3分。</w:t>
            </w:r>
          </w:p>
        </w:tc>
        <w:tc>
          <w:tcPr>
            <w:tcW w:w="159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r>
              <w:rPr>
                <w:rFonts w:hint="eastAsia" w:ascii="宋体" w:hAnsi="宋体" w:eastAsia="宋体" w:cs="宋体"/>
                <w:color w:val="0000FF"/>
                <w:sz w:val="21"/>
                <w:szCs w:val="21"/>
                <w:lang w:val="en-US" w:eastAsia="zh-CN"/>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978" w:type="dxa"/>
            <w:vMerge w:val="restart"/>
            <w:vAlign w:val="center"/>
          </w:tcPr>
          <w:p>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r>
              <w:rPr>
                <w:rFonts w:hint="eastAsia" w:ascii="宋体" w:hAnsi="宋体" w:eastAsia="宋体" w:cs="宋体"/>
                <w:snapToGrid w:val="0"/>
                <w:color w:val="0000FF"/>
                <w:kern w:val="0"/>
                <w:sz w:val="21"/>
                <w:szCs w:val="21"/>
              </w:rPr>
              <w:t>技术质量评分标准</w:t>
            </w:r>
          </w:p>
        </w:tc>
        <w:tc>
          <w:tcPr>
            <w:tcW w:w="2152" w:type="dxa"/>
            <w:vMerge w:val="restart"/>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r>
              <w:rPr>
                <w:rFonts w:hint="eastAsia" w:ascii="宋体" w:hAnsi="宋体" w:eastAsia="宋体" w:cs="宋体"/>
                <w:color w:val="0000FF"/>
                <w:sz w:val="21"/>
                <w:szCs w:val="21"/>
              </w:rPr>
              <w:t>技术质量保障能力（</w:t>
            </w:r>
            <w:r>
              <w:rPr>
                <w:rFonts w:hint="eastAsia" w:ascii="宋体" w:hAnsi="宋体" w:eastAsia="宋体" w:cs="宋体"/>
                <w:color w:val="0000FF"/>
                <w:sz w:val="21"/>
                <w:szCs w:val="21"/>
                <w:lang w:val="en-US" w:eastAsia="zh-CN"/>
              </w:rPr>
              <w:t>40</w:t>
            </w:r>
            <w:r>
              <w:rPr>
                <w:rFonts w:hint="eastAsia" w:ascii="宋体" w:hAnsi="宋体" w:eastAsia="宋体" w:cs="宋体"/>
                <w:color w:val="0000FF"/>
                <w:sz w:val="21"/>
                <w:szCs w:val="21"/>
              </w:rPr>
              <w:t>分）</w:t>
            </w:r>
          </w:p>
        </w:tc>
        <w:tc>
          <w:tcPr>
            <w:tcW w:w="5116"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供方产品实物质量、质量问题处理能力及配合度；</w:t>
            </w:r>
          </w:p>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优秀16-20分；良好11-15分；一般0-10分。</w:t>
            </w:r>
          </w:p>
        </w:tc>
        <w:tc>
          <w:tcPr>
            <w:tcW w:w="159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0-20</w:t>
            </w:r>
            <w:r>
              <w:rPr>
                <w:rFonts w:hint="eastAsia" w:ascii="宋体" w:hAnsi="宋体" w:eastAsia="宋体" w:cs="宋体"/>
                <w:color w:val="0000FF"/>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trPr>
        <w:tc>
          <w:tcPr>
            <w:tcW w:w="978" w:type="dxa"/>
            <w:vMerge w:val="continue"/>
            <w:vAlign w:val="center"/>
          </w:tcPr>
          <w:p>
            <w:pPr>
              <w:keepNext w:val="0"/>
              <w:keepLines w:val="0"/>
              <w:suppressLineNumbers w:val="0"/>
              <w:wordWrap w:val="0"/>
              <w:snapToGrid w:val="0"/>
              <w:spacing w:before="0" w:beforeAutospacing="0" w:after="0" w:afterAutospacing="0" w:line="360" w:lineRule="auto"/>
              <w:ind w:left="0" w:right="0"/>
              <w:jc w:val="center"/>
              <w:rPr>
                <w:rFonts w:hint="eastAsia" w:ascii="宋体" w:hAnsi="宋体" w:eastAsia="宋体" w:cs="宋体"/>
                <w:snapToGrid w:val="0"/>
                <w:color w:val="0000FF"/>
                <w:kern w:val="0"/>
                <w:sz w:val="21"/>
                <w:szCs w:val="21"/>
              </w:rPr>
            </w:pPr>
          </w:p>
        </w:tc>
        <w:tc>
          <w:tcPr>
            <w:tcW w:w="2152" w:type="dxa"/>
            <w:vMerge w:val="continue"/>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p>
        </w:tc>
        <w:tc>
          <w:tcPr>
            <w:tcW w:w="5116" w:type="dxa"/>
            <w:vAlign w:val="center"/>
          </w:tcPr>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是否具有专业技术团队、</w:t>
            </w:r>
            <w:r>
              <w:rPr>
                <w:rFonts w:hint="eastAsia" w:ascii="宋体" w:hAnsi="宋体" w:eastAsia="宋体" w:cs="宋体"/>
                <w:color w:val="0000FF"/>
                <w:sz w:val="21"/>
                <w:szCs w:val="21"/>
                <w:lang w:eastAsia="zh-CN"/>
              </w:rPr>
              <w:t>技术</w:t>
            </w:r>
            <w:r>
              <w:rPr>
                <w:rFonts w:hint="eastAsia" w:ascii="宋体" w:hAnsi="宋体" w:eastAsia="宋体" w:cs="宋体"/>
                <w:color w:val="0000FF"/>
                <w:sz w:val="21"/>
                <w:szCs w:val="21"/>
                <w:lang w:val="en-US" w:eastAsia="zh-CN"/>
              </w:rPr>
              <w:t>能力、新产品开发配合度、技术问题解决能力及配合度；</w:t>
            </w:r>
          </w:p>
          <w:p>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优秀16-20分；良好11-15分；一般0-10分。</w:t>
            </w:r>
          </w:p>
        </w:tc>
        <w:tc>
          <w:tcPr>
            <w:tcW w:w="1590" w:type="dxa"/>
            <w:vAlign w:val="center"/>
          </w:tcPr>
          <w:p>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0000FF"/>
                <w:sz w:val="21"/>
                <w:szCs w:val="21"/>
              </w:rPr>
            </w:pPr>
            <w:r>
              <w:rPr>
                <w:rFonts w:hint="eastAsia" w:ascii="宋体" w:hAnsi="宋体" w:eastAsia="宋体" w:cs="宋体"/>
                <w:color w:val="0000FF"/>
                <w:sz w:val="21"/>
                <w:szCs w:val="21"/>
                <w:lang w:val="en-US" w:eastAsia="zh-CN"/>
              </w:rPr>
              <w:t>0-20</w:t>
            </w:r>
            <w:r>
              <w:rPr>
                <w:rFonts w:hint="eastAsia" w:ascii="宋体" w:hAnsi="宋体" w:eastAsia="宋体" w:cs="宋体"/>
                <w:color w:val="0000FF"/>
                <w:sz w:val="21"/>
                <w:szCs w:val="21"/>
              </w:rPr>
              <w:t>分</w:t>
            </w:r>
          </w:p>
        </w:tc>
      </w:tr>
    </w:tbl>
    <w:p>
      <w:pPr>
        <w:pStyle w:val="20"/>
        <w:rPr>
          <w:rFonts w:hint="eastAsia"/>
        </w:rPr>
      </w:pPr>
    </w:p>
    <w:p>
      <w:pPr>
        <w:pStyle w:val="2"/>
        <w:jc w:val="both"/>
        <w:rPr>
          <w:rFonts w:hint="eastAsia"/>
          <w:highlight w:val="none"/>
        </w:rPr>
      </w:pPr>
      <w:bookmarkStart w:id="157" w:name="_Toc28288"/>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highlight w:val="none"/>
        </w:rPr>
        <w:br w:type="page"/>
      </w:r>
    </w:p>
    <w:p>
      <w:pPr>
        <w:rPr>
          <w:rFonts w:hint="eastAsia"/>
          <w:highlight w:val="none"/>
        </w:rPr>
      </w:pPr>
    </w:p>
    <w:p>
      <w:pPr>
        <w:pStyle w:val="2"/>
        <w:jc w:val="center"/>
        <w:rPr>
          <w:highlight w:val="none"/>
        </w:rPr>
      </w:pPr>
      <w:r>
        <w:rPr>
          <w:rFonts w:hint="eastAsia"/>
          <w:highlight w:val="none"/>
        </w:rPr>
        <w:t>第</w:t>
      </w:r>
      <w:r>
        <w:rPr>
          <w:rFonts w:hint="eastAsia"/>
          <w:highlight w:val="none"/>
          <w:lang w:val="en-US" w:eastAsia="zh-CN"/>
        </w:rPr>
        <w:t>四</w:t>
      </w:r>
      <w:r>
        <w:rPr>
          <w:rFonts w:hint="eastAsia"/>
          <w:highlight w:val="none"/>
        </w:rPr>
        <w:t>章投标文件格式</w:t>
      </w:r>
      <w:bookmarkEnd w:id="157"/>
    </w:p>
    <w:p>
      <w:pPr>
        <w:overflowPunct w:val="0"/>
        <w:spacing w:line="360" w:lineRule="auto"/>
        <w:ind w:left="539"/>
        <w:jc w:val="right"/>
        <w:rPr>
          <w:rFonts w:ascii="Times New Roman" w:hAnsi="Times New Roman" w:eastAsia="黑体"/>
          <w:snapToGrid w:val="0"/>
          <w:sz w:val="36"/>
          <w:szCs w:val="36"/>
          <w:highlight w:val="none"/>
        </w:rPr>
      </w:pPr>
    </w:p>
    <w:p>
      <w:pPr>
        <w:overflowPunct w:val="0"/>
        <w:jc w:val="center"/>
        <w:rPr>
          <w:rFonts w:ascii="Times New Roman" w:hAnsi="Times New Roman"/>
          <w:b/>
          <w:sz w:val="44"/>
          <w:szCs w:val="44"/>
          <w:highlight w:val="none"/>
        </w:rPr>
      </w:pPr>
      <w:r>
        <w:rPr>
          <w:rFonts w:ascii="Times New Roman" w:hAnsi="Times New Roman"/>
          <w:b/>
          <w:sz w:val="44"/>
          <w:szCs w:val="44"/>
          <w:highlight w:val="none"/>
          <w:u w:val="single"/>
        </w:rPr>
        <w:t xml:space="preserve">                    </w:t>
      </w:r>
      <w:r>
        <w:rPr>
          <w:rFonts w:hint="eastAsia" w:ascii="Times New Roman" w:hAnsi="Times New Roman"/>
          <w:b/>
          <w:sz w:val="44"/>
          <w:szCs w:val="44"/>
          <w:highlight w:val="none"/>
        </w:rPr>
        <w:t>（项目名称）</w:t>
      </w:r>
    </w:p>
    <w:p>
      <w:pPr>
        <w:overflowPunct w:val="0"/>
        <w:spacing w:line="360" w:lineRule="auto"/>
        <w:ind w:left="1" w:firstLine="1"/>
        <w:jc w:val="center"/>
        <w:rPr>
          <w:rFonts w:ascii="Times New Roman" w:hAnsi="Times New Roman" w:eastAsia="黑体"/>
          <w:snapToGrid w:val="0"/>
          <w:sz w:val="48"/>
          <w:szCs w:val="48"/>
          <w:highlight w:val="none"/>
          <w:u w:val="single"/>
        </w:rPr>
      </w:pPr>
    </w:p>
    <w:p>
      <w:pPr>
        <w:overflowPunct w:val="0"/>
        <w:jc w:val="center"/>
        <w:rPr>
          <w:rFonts w:ascii="Times New Roman" w:hAnsi="Times New Roman" w:eastAsia="黑体"/>
          <w:sz w:val="20"/>
          <w:szCs w:val="20"/>
          <w:highlight w:val="none"/>
        </w:rPr>
      </w:pPr>
    </w:p>
    <w:p>
      <w:pPr>
        <w:overflowPunct w:val="0"/>
        <w:rPr>
          <w:rFonts w:ascii="Times New Roman" w:hAnsi="Times New Roman" w:eastAsia="黑体"/>
          <w:sz w:val="20"/>
          <w:szCs w:val="20"/>
          <w:highlight w:val="none"/>
        </w:rPr>
      </w:pPr>
    </w:p>
    <w:p>
      <w:pPr>
        <w:overflowPunct w:val="0"/>
        <w:jc w:val="center"/>
        <w:rPr>
          <w:rFonts w:ascii="Times New Roman" w:hAnsi="Times New Roman" w:eastAsia="黑体"/>
          <w:snapToGrid w:val="0"/>
          <w:sz w:val="52"/>
          <w:szCs w:val="52"/>
          <w:highlight w:val="none"/>
        </w:rPr>
      </w:pPr>
      <w:r>
        <w:rPr>
          <w:rFonts w:hint="eastAsia" w:ascii="Times New Roman" w:hAnsi="Times New Roman" w:eastAsia="黑体"/>
          <w:snapToGrid w:val="0"/>
          <w:sz w:val="52"/>
          <w:szCs w:val="52"/>
          <w:highlight w:val="none"/>
        </w:rPr>
        <w:t>投</w:t>
      </w:r>
      <w:r>
        <w:rPr>
          <w:rFonts w:ascii="Times New Roman" w:hAnsi="Times New Roman" w:eastAsia="黑体"/>
          <w:snapToGrid w:val="0"/>
          <w:sz w:val="52"/>
          <w:szCs w:val="52"/>
          <w:highlight w:val="none"/>
        </w:rPr>
        <w:t xml:space="preserve">  </w:t>
      </w:r>
      <w:r>
        <w:rPr>
          <w:rFonts w:hint="eastAsia" w:ascii="Times New Roman" w:hAnsi="Times New Roman" w:eastAsia="黑体"/>
          <w:snapToGrid w:val="0"/>
          <w:sz w:val="52"/>
          <w:szCs w:val="52"/>
          <w:highlight w:val="none"/>
        </w:rPr>
        <w:t>标</w:t>
      </w:r>
      <w:r>
        <w:rPr>
          <w:rFonts w:ascii="Times New Roman" w:hAnsi="Times New Roman" w:eastAsia="黑体"/>
          <w:snapToGrid w:val="0"/>
          <w:sz w:val="52"/>
          <w:szCs w:val="52"/>
          <w:highlight w:val="none"/>
        </w:rPr>
        <w:t xml:space="preserve">  </w:t>
      </w:r>
      <w:r>
        <w:rPr>
          <w:rFonts w:hint="eastAsia" w:ascii="Times New Roman" w:hAnsi="Times New Roman" w:eastAsia="黑体"/>
          <w:snapToGrid w:val="0"/>
          <w:sz w:val="52"/>
          <w:szCs w:val="52"/>
          <w:highlight w:val="none"/>
        </w:rPr>
        <w:t>文</w:t>
      </w:r>
      <w:r>
        <w:rPr>
          <w:rFonts w:ascii="Times New Roman" w:hAnsi="Times New Roman" w:eastAsia="黑体"/>
          <w:snapToGrid w:val="0"/>
          <w:sz w:val="52"/>
          <w:szCs w:val="52"/>
          <w:highlight w:val="none"/>
        </w:rPr>
        <w:t xml:space="preserve">  </w:t>
      </w:r>
      <w:r>
        <w:rPr>
          <w:rFonts w:hint="eastAsia" w:ascii="Times New Roman" w:hAnsi="Times New Roman" w:eastAsia="黑体"/>
          <w:snapToGrid w:val="0"/>
          <w:sz w:val="52"/>
          <w:szCs w:val="52"/>
          <w:highlight w:val="none"/>
        </w:rPr>
        <w:t>件</w:t>
      </w:r>
    </w:p>
    <w:p>
      <w:pPr>
        <w:overflowPunct w:val="0"/>
        <w:rPr>
          <w:rFonts w:ascii="Times New Roman" w:hAnsi="Times New Roman" w:eastAsia="黑体"/>
          <w:sz w:val="28"/>
          <w:szCs w:val="28"/>
          <w:highlight w:val="none"/>
        </w:rPr>
      </w:pPr>
    </w:p>
    <w:p>
      <w:pPr>
        <w:overflowPunct w:val="0"/>
        <w:rPr>
          <w:rFonts w:ascii="Times New Roman" w:hAnsi="Times New Roman" w:eastAsia="黑体"/>
          <w:sz w:val="28"/>
          <w:szCs w:val="28"/>
          <w:highlight w:val="none"/>
        </w:rPr>
      </w:pPr>
    </w:p>
    <w:p>
      <w:pPr>
        <w:overflowPunct w:val="0"/>
        <w:rPr>
          <w:rFonts w:hint="eastAsia" w:ascii="Times New Roman" w:hAnsi="Times New Roman"/>
          <w:b/>
          <w:bCs/>
          <w:sz w:val="32"/>
          <w:highlight w:val="none"/>
        </w:rPr>
      </w:pPr>
    </w:p>
    <w:p>
      <w:pPr>
        <w:pStyle w:val="15"/>
        <w:rPr>
          <w:rFonts w:hint="eastAsia"/>
          <w:highlight w:val="none"/>
        </w:rPr>
      </w:pPr>
    </w:p>
    <w:p>
      <w:pPr>
        <w:overflowPunct w:val="0"/>
        <w:rPr>
          <w:rFonts w:ascii="Times New Roman" w:hAnsi="Times New Roman" w:eastAsia="黑体"/>
          <w:sz w:val="28"/>
          <w:szCs w:val="28"/>
          <w:highlight w:val="none"/>
        </w:rPr>
      </w:pPr>
    </w:p>
    <w:p>
      <w:pPr>
        <w:overflowPunct w:val="0"/>
        <w:rPr>
          <w:rFonts w:ascii="Times New Roman" w:hAnsi="Times New Roman" w:eastAsia="黑体"/>
          <w:sz w:val="28"/>
          <w:szCs w:val="28"/>
          <w:highlight w:val="none"/>
        </w:rPr>
      </w:pPr>
    </w:p>
    <w:p>
      <w:pPr>
        <w:overflowPunct w:val="0"/>
        <w:rPr>
          <w:rFonts w:ascii="Times New Roman" w:hAnsi="Times New Roman" w:eastAsia="黑体"/>
          <w:sz w:val="28"/>
          <w:szCs w:val="28"/>
          <w:highlight w:val="none"/>
        </w:rPr>
      </w:pPr>
    </w:p>
    <w:p>
      <w:pPr>
        <w:overflowPunct w:val="0"/>
        <w:spacing w:line="360" w:lineRule="auto"/>
        <w:ind w:firstLine="1680" w:firstLineChars="600"/>
        <w:rPr>
          <w:rFonts w:hint="eastAsia" w:ascii="Times New Roman" w:hAnsi="Times New Roman" w:eastAsia="黑体"/>
          <w:sz w:val="28"/>
          <w:szCs w:val="28"/>
          <w:highlight w:val="none"/>
        </w:rPr>
      </w:pPr>
      <w:r>
        <w:rPr>
          <w:rFonts w:hint="eastAsia" w:ascii="Times New Roman" w:hAnsi="Times New Roman" w:eastAsia="黑体"/>
          <w:sz w:val="28"/>
          <w:szCs w:val="28"/>
          <w:highlight w:val="none"/>
        </w:rPr>
        <w:t>招  标  人：</w:t>
      </w:r>
      <w:r>
        <w:rPr>
          <w:rFonts w:hint="eastAsia" w:ascii="Times New Roman" w:hAnsi="Times New Roman" w:eastAsia="黑体"/>
          <w:sz w:val="28"/>
          <w:szCs w:val="28"/>
          <w:highlight w:val="none"/>
          <w:lang w:val="en-US" w:eastAsia="zh-CN"/>
        </w:rPr>
        <w:t>中车石家庄车辆</w:t>
      </w:r>
      <w:r>
        <w:rPr>
          <w:rFonts w:hint="eastAsia" w:ascii="Times New Roman" w:hAnsi="Times New Roman" w:eastAsia="黑体"/>
          <w:sz w:val="28"/>
          <w:szCs w:val="28"/>
          <w:highlight w:val="none"/>
        </w:rPr>
        <w:t>有限公司</w:t>
      </w:r>
    </w:p>
    <w:p>
      <w:pPr>
        <w:overflowPunct w:val="0"/>
        <w:spacing w:line="360" w:lineRule="auto"/>
        <w:ind w:firstLine="1680" w:firstLineChars="600"/>
        <w:rPr>
          <w:rFonts w:hint="default" w:ascii="Times New Roman" w:hAnsi="Times New Roman" w:eastAsia="黑体"/>
          <w:sz w:val="28"/>
          <w:szCs w:val="28"/>
          <w:highlight w:val="none"/>
          <w:lang w:val="en-US" w:eastAsia="zh-CN"/>
        </w:rPr>
      </w:pPr>
      <w:r>
        <w:rPr>
          <w:rFonts w:hint="eastAsia" w:ascii="Times New Roman" w:hAnsi="Times New Roman" w:eastAsia="黑体"/>
          <w:sz w:val="28"/>
          <w:szCs w:val="28"/>
          <w:highlight w:val="none"/>
          <w:lang w:val="en-US" w:eastAsia="zh-CN"/>
        </w:rPr>
        <w:t>采 购标 号：</w:t>
      </w:r>
      <w:r>
        <w:rPr>
          <w:rFonts w:ascii="Times New Roman" w:hAnsi="Times New Roman" w:eastAsia="黑体"/>
          <w:sz w:val="28"/>
          <w:szCs w:val="28"/>
          <w:highlight w:val="none"/>
          <w:u w:val="single"/>
        </w:rPr>
        <w:t xml:space="preserve">                    </w:t>
      </w:r>
    </w:p>
    <w:p>
      <w:pPr>
        <w:overflowPunct w:val="0"/>
        <w:spacing w:line="360" w:lineRule="auto"/>
        <w:ind w:firstLine="1680" w:firstLineChars="600"/>
        <w:rPr>
          <w:rFonts w:ascii="Times New Roman" w:hAnsi="Times New Roman" w:eastAsia="黑体"/>
          <w:sz w:val="28"/>
          <w:szCs w:val="28"/>
          <w:highlight w:val="none"/>
        </w:rPr>
      </w:pPr>
      <w:r>
        <w:rPr>
          <w:rFonts w:hint="eastAsia" w:ascii="Times New Roman" w:hAnsi="Times New Roman" w:eastAsia="黑体"/>
          <w:sz w:val="28"/>
          <w:szCs w:val="28"/>
          <w:highlight w:val="none"/>
        </w:rPr>
        <w:t>投</w:t>
      </w:r>
      <w:r>
        <w:rPr>
          <w:rFonts w:ascii="Times New Roman" w:hAnsi="Times New Roman" w:eastAsia="黑体"/>
          <w:sz w:val="28"/>
          <w:szCs w:val="28"/>
          <w:highlight w:val="none"/>
        </w:rPr>
        <w:t xml:space="preserve">  </w:t>
      </w:r>
      <w:r>
        <w:rPr>
          <w:rFonts w:hint="eastAsia" w:ascii="Times New Roman" w:hAnsi="Times New Roman" w:eastAsia="黑体"/>
          <w:sz w:val="28"/>
          <w:szCs w:val="28"/>
          <w:highlight w:val="none"/>
        </w:rPr>
        <w:t>标</w:t>
      </w:r>
      <w:r>
        <w:rPr>
          <w:rFonts w:ascii="Times New Roman" w:hAnsi="Times New Roman" w:eastAsia="黑体"/>
          <w:sz w:val="28"/>
          <w:szCs w:val="28"/>
          <w:highlight w:val="none"/>
        </w:rPr>
        <w:t xml:space="preserve">  </w:t>
      </w:r>
      <w:r>
        <w:rPr>
          <w:rFonts w:hint="eastAsia" w:ascii="Times New Roman" w:hAnsi="Times New Roman" w:eastAsia="黑体"/>
          <w:sz w:val="28"/>
          <w:szCs w:val="28"/>
          <w:highlight w:val="none"/>
        </w:rPr>
        <w:t>人：</w:t>
      </w:r>
      <w:r>
        <w:rPr>
          <w:rFonts w:ascii="Times New Roman" w:hAnsi="Times New Roman" w:eastAsia="黑体"/>
          <w:sz w:val="28"/>
          <w:szCs w:val="28"/>
          <w:highlight w:val="none"/>
          <w:u w:val="single"/>
        </w:rPr>
        <w:t xml:space="preserve">                    </w:t>
      </w:r>
      <w:r>
        <w:rPr>
          <w:rFonts w:hint="eastAsia" w:ascii="Times New Roman" w:hAnsi="Times New Roman" w:eastAsia="黑体"/>
          <w:sz w:val="28"/>
          <w:szCs w:val="28"/>
          <w:highlight w:val="none"/>
        </w:rPr>
        <w:t>（盖单位章）</w:t>
      </w:r>
    </w:p>
    <w:p>
      <w:pPr>
        <w:overflowPunct w:val="0"/>
        <w:spacing w:line="360" w:lineRule="auto"/>
        <w:ind w:firstLine="1680" w:firstLineChars="600"/>
        <w:rPr>
          <w:rFonts w:ascii="Times New Roman" w:hAnsi="Times New Roman" w:eastAsia="黑体"/>
          <w:sz w:val="28"/>
          <w:szCs w:val="28"/>
          <w:highlight w:val="none"/>
        </w:rPr>
      </w:pPr>
      <w:r>
        <w:rPr>
          <w:rFonts w:hint="eastAsia" w:ascii="Times New Roman" w:hAnsi="Times New Roman" w:eastAsia="黑体"/>
          <w:sz w:val="28"/>
          <w:szCs w:val="28"/>
          <w:highlight w:val="none"/>
        </w:rPr>
        <w:t>法定代表人：</w:t>
      </w:r>
      <w:r>
        <w:rPr>
          <w:rFonts w:ascii="Times New Roman" w:hAnsi="Times New Roman" w:eastAsia="黑体"/>
          <w:sz w:val="28"/>
          <w:szCs w:val="28"/>
          <w:highlight w:val="none"/>
          <w:u w:val="single"/>
        </w:rPr>
        <w:t xml:space="preserve">                </w:t>
      </w:r>
      <w:r>
        <w:rPr>
          <w:rFonts w:hint="eastAsia" w:ascii="Times New Roman" w:hAnsi="Times New Roman" w:eastAsia="黑体"/>
          <w:sz w:val="28"/>
          <w:szCs w:val="28"/>
          <w:highlight w:val="none"/>
        </w:rPr>
        <w:t>（签字或盖章）</w:t>
      </w:r>
    </w:p>
    <w:p>
      <w:pPr>
        <w:pStyle w:val="20"/>
        <w:rPr>
          <w:rFonts w:ascii="Times New Roman" w:hAnsi="Times New Roman"/>
          <w:highlight w:val="none"/>
        </w:rPr>
      </w:pPr>
    </w:p>
    <w:p>
      <w:pPr>
        <w:overflowPunct w:val="0"/>
        <w:spacing w:line="360" w:lineRule="auto"/>
        <w:jc w:val="center"/>
        <w:rPr>
          <w:rFonts w:ascii="Times New Roman" w:hAnsi="Times New Roman" w:eastAsia="黑体"/>
          <w:sz w:val="28"/>
          <w:szCs w:val="28"/>
          <w:highlight w:val="none"/>
        </w:rPr>
      </w:pPr>
      <w:r>
        <w:rPr>
          <w:rFonts w:ascii="Times New Roman" w:hAnsi="Times New Roman" w:eastAsia="黑体"/>
          <w:sz w:val="28"/>
          <w:szCs w:val="28"/>
          <w:highlight w:val="none"/>
          <w:u w:val="single"/>
        </w:rPr>
        <w:t xml:space="preserve">        </w:t>
      </w:r>
      <w:r>
        <w:rPr>
          <w:rFonts w:hint="eastAsia" w:ascii="Times New Roman" w:hAnsi="Times New Roman" w:eastAsia="黑体"/>
          <w:sz w:val="28"/>
          <w:szCs w:val="28"/>
          <w:highlight w:val="none"/>
        </w:rPr>
        <w:t>年</w:t>
      </w:r>
      <w:r>
        <w:rPr>
          <w:rFonts w:ascii="Times New Roman" w:hAnsi="Times New Roman" w:eastAsia="黑体"/>
          <w:sz w:val="28"/>
          <w:szCs w:val="28"/>
          <w:highlight w:val="none"/>
          <w:u w:val="single"/>
        </w:rPr>
        <w:t xml:space="preserve">        </w:t>
      </w:r>
      <w:r>
        <w:rPr>
          <w:rFonts w:hint="eastAsia" w:ascii="Times New Roman" w:hAnsi="Times New Roman" w:eastAsia="黑体"/>
          <w:sz w:val="28"/>
          <w:szCs w:val="28"/>
          <w:highlight w:val="none"/>
        </w:rPr>
        <w:t>月</w:t>
      </w:r>
      <w:r>
        <w:rPr>
          <w:rFonts w:ascii="Times New Roman" w:hAnsi="Times New Roman" w:eastAsia="黑体"/>
          <w:sz w:val="28"/>
          <w:szCs w:val="28"/>
          <w:highlight w:val="none"/>
          <w:u w:val="single"/>
        </w:rPr>
        <w:t xml:space="preserve">        </w:t>
      </w:r>
      <w:r>
        <w:rPr>
          <w:rFonts w:hint="eastAsia" w:ascii="Times New Roman" w:hAnsi="Times New Roman" w:eastAsia="黑体"/>
          <w:sz w:val="28"/>
          <w:szCs w:val="28"/>
          <w:highlight w:val="none"/>
        </w:rPr>
        <w:t>日</w:t>
      </w:r>
    </w:p>
    <w:p>
      <w:pPr>
        <w:spacing w:line="400" w:lineRule="exact"/>
        <w:jc w:val="center"/>
        <w:rPr>
          <w:rFonts w:ascii="Times New Roman" w:hAnsi="Times New Roman"/>
          <w:sz w:val="28"/>
          <w:szCs w:val="24"/>
          <w:highlight w:val="none"/>
        </w:rPr>
      </w:pPr>
      <w:r>
        <w:rPr>
          <w:rFonts w:ascii="Times New Roman" w:hAnsi="Times New Roman"/>
          <w:highlight w:val="none"/>
        </w:rPr>
        <w:br w:type="page"/>
      </w:r>
      <w:bookmarkStart w:id="158" w:name="_Toc20213"/>
      <w:r>
        <w:rPr>
          <w:rFonts w:hint="eastAsia" w:ascii="Times New Roman" w:hAnsi="Times New Roman"/>
          <w:sz w:val="28"/>
          <w:szCs w:val="24"/>
          <w:highlight w:val="none"/>
        </w:rPr>
        <w:t>目录</w:t>
      </w:r>
      <w:bookmarkEnd w:id="158"/>
    </w:p>
    <w:p>
      <w:pPr>
        <w:spacing w:line="540" w:lineRule="exact"/>
        <w:rPr>
          <w:rFonts w:ascii="Times New Roman" w:hAnsi="Times New Roman"/>
          <w:sz w:val="40"/>
          <w:szCs w:val="36"/>
          <w:highlight w:val="none"/>
        </w:rPr>
      </w:pPr>
    </w:p>
    <w:p>
      <w:pPr>
        <w:spacing w:line="540" w:lineRule="exact"/>
        <w:rPr>
          <w:rFonts w:hint="default" w:ascii="Times New Roman" w:hAnsi="Times New Roman" w:eastAsia="宋体"/>
          <w:sz w:val="28"/>
          <w:szCs w:val="24"/>
          <w:highlight w:val="none"/>
          <w:lang w:val="en-US" w:eastAsia="zh-CN"/>
        </w:rPr>
      </w:pPr>
      <w:bookmarkStart w:id="159" w:name="_Toc352691655"/>
      <w:bookmarkStart w:id="160" w:name="_Toc369531691"/>
      <w:bookmarkStart w:id="161" w:name="_Toc7039"/>
      <w:r>
        <w:rPr>
          <w:rFonts w:hint="eastAsia" w:ascii="Times New Roman" w:hAnsi="Times New Roman"/>
          <w:sz w:val="28"/>
          <w:szCs w:val="24"/>
          <w:highlight w:val="none"/>
        </w:rPr>
        <w:t>一、投标函</w:t>
      </w:r>
      <w:r>
        <w:rPr>
          <w:rFonts w:hint="eastAsia" w:ascii="Times New Roman" w:hAnsi="Times New Roman"/>
          <w:sz w:val="28"/>
          <w:szCs w:val="24"/>
          <w:highlight w:val="none"/>
          <w:lang w:val="en-US" w:eastAsia="zh-CN"/>
        </w:rPr>
        <w:t>及附录</w:t>
      </w:r>
    </w:p>
    <w:p>
      <w:pPr>
        <w:spacing w:line="540" w:lineRule="exact"/>
        <w:rPr>
          <w:rFonts w:ascii="Times New Roman" w:hAnsi="Times New Roman"/>
          <w:sz w:val="28"/>
          <w:szCs w:val="24"/>
          <w:highlight w:val="none"/>
        </w:rPr>
      </w:pPr>
      <w:r>
        <w:rPr>
          <w:rFonts w:hint="eastAsia" w:ascii="Times New Roman" w:hAnsi="Times New Roman"/>
          <w:sz w:val="28"/>
          <w:szCs w:val="24"/>
          <w:highlight w:val="none"/>
        </w:rPr>
        <w:t>二、法定代表人身份证明</w:t>
      </w:r>
    </w:p>
    <w:p>
      <w:pPr>
        <w:spacing w:line="540" w:lineRule="exact"/>
        <w:rPr>
          <w:rFonts w:ascii="Times New Roman" w:hAnsi="Times New Roman"/>
          <w:sz w:val="28"/>
          <w:szCs w:val="24"/>
          <w:highlight w:val="none"/>
        </w:rPr>
      </w:pPr>
      <w:r>
        <w:rPr>
          <w:rFonts w:hint="eastAsia" w:ascii="Times New Roman" w:hAnsi="Times New Roman"/>
          <w:sz w:val="28"/>
          <w:szCs w:val="24"/>
          <w:highlight w:val="none"/>
        </w:rPr>
        <w:t>三、授权委托书</w:t>
      </w:r>
    </w:p>
    <w:p>
      <w:pPr>
        <w:spacing w:line="540" w:lineRule="exact"/>
        <w:rPr>
          <w:rFonts w:ascii="Times New Roman" w:hAnsi="Times New Roman"/>
          <w:sz w:val="28"/>
          <w:szCs w:val="24"/>
          <w:highlight w:val="none"/>
        </w:rPr>
      </w:pPr>
      <w:r>
        <w:rPr>
          <w:rFonts w:hint="eastAsia" w:ascii="Times New Roman" w:hAnsi="Times New Roman"/>
          <w:sz w:val="28"/>
          <w:szCs w:val="24"/>
          <w:highlight w:val="none"/>
        </w:rPr>
        <w:t>四、投标保证金</w:t>
      </w:r>
    </w:p>
    <w:p>
      <w:pPr>
        <w:spacing w:line="540" w:lineRule="exact"/>
        <w:rPr>
          <w:rFonts w:ascii="Times New Roman" w:hAnsi="Times New Roman"/>
          <w:sz w:val="28"/>
          <w:szCs w:val="24"/>
          <w:highlight w:val="none"/>
        </w:rPr>
      </w:pPr>
      <w:r>
        <w:rPr>
          <w:rFonts w:hint="eastAsia" w:ascii="Times New Roman" w:hAnsi="Times New Roman"/>
          <w:sz w:val="28"/>
          <w:szCs w:val="24"/>
          <w:highlight w:val="none"/>
        </w:rPr>
        <w:t>五、商务和技术偏差表</w:t>
      </w:r>
    </w:p>
    <w:p>
      <w:pPr>
        <w:spacing w:line="540" w:lineRule="exact"/>
        <w:rPr>
          <w:rFonts w:ascii="Times New Roman" w:hAnsi="Times New Roman"/>
          <w:sz w:val="28"/>
          <w:szCs w:val="24"/>
          <w:highlight w:val="none"/>
        </w:rPr>
      </w:pPr>
      <w:r>
        <w:rPr>
          <w:rFonts w:hint="eastAsia" w:ascii="Times New Roman" w:hAnsi="Times New Roman"/>
          <w:sz w:val="28"/>
          <w:szCs w:val="24"/>
          <w:highlight w:val="none"/>
        </w:rPr>
        <w:t>六、</w:t>
      </w:r>
      <w:r>
        <w:rPr>
          <w:rFonts w:hint="eastAsia" w:ascii="Times New Roman" w:hAnsi="Times New Roman"/>
          <w:sz w:val="28"/>
          <w:szCs w:val="24"/>
          <w:highlight w:val="none"/>
          <w:lang w:val="en-US" w:eastAsia="zh-CN"/>
        </w:rPr>
        <w:t>项目</w:t>
      </w:r>
      <w:r>
        <w:rPr>
          <w:rFonts w:hint="eastAsia" w:ascii="Times New Roman" w:hAnsi="Times New Roman"/>
          <w:sz w:val="28"/>
          <w:szCs w:val="24"/>
          <w:highlight w:val="none"/>
        </w:rPr>
        <w:t>报价表</w:t>
      </w:r>
    </w:p>
    <w:p>
      <w:pPr>
        <w:spacing w:line="540" w:lineRule="exact"/>
        <w:rPr>
          <w:rFonts w:hint="eastAsia" w:ascii="Times New Roman" w:hAnsi="Times New Roman" w:eastAsia="宋体"/>
          <w:sz w:val="28"/>
          <w:szCs w:val="24"/>
          <w:highlight w:val="none"/>
          <w:lang w:eastAsia="zh-CN"/>
        </w:rPr>
      </w:pPr>
      <w:r>
        <w:rPr>
          <w:rFonts w:hint="eastAsia" w:ascii="Times New Roman" w:hAnsi="Times New Roman"/>
          <w:sz w:val="28"/>
          <w:szCs w:val="24"/>
          <w:highlight w:val="none"/>
          <w:lang w:val="en-US" w:eastAsia="zh-CN"/>
        </w:rPr>
        <w:t>七</w:t>
      </w:r>
      <w:r>
        <w:rPr>
          <w:rFonts w:hint="eastAsia" w:ascii="Times New Roman" w:hAnsi="Times New Roman"/>
          <w:sz w:val="28"/>
          <w:szCs w:val="24"/>
          <w:highlight w:val="none"/>
        </w:rPr>
        <w:t>、</w:t>
      </w:r>
      <w:r>
        <w:rPr>
          <w:rFonts w:hint="eastAsia"/>
          <w:color w:val="000000"/>
          <w:sz w:val="28"/>
          <w:szCs w:val="24"/>
          <w:highlight w:val="none"/>
        </w:rPr>
        <w:t>项目实施方案及服务承诺</w:t>
      </w:r>
    </w:p>
    <w:p>
      <w:pPr>
        <w:spacing w:line="540" w:lineRule="exact"/>
        <w:rPr>
          <w:rFonts w:hint="eastAsia" w:ascii="Times New Roman" w:hAnsi="Times New Roman" w:eastAsia="宋体"/>
          <w:sz w:val="28"/>
          <w:szCs w:val="24"/>
          <w:highlight w:val="none"/>
          <w:lang w:eastAsia="zh-CN"/>
        </w:rPr>
      </w:pPr>
      <w:bookmarkStart w:id="162" w:name="_Toc247514232"/>
      <w:bookmarkStart w:id="163" w:name="_Toc247527819"/>
      <w:bookmarkStart w:id="164" w:name="_Toc300835204"/>
      <w:r>
        <w:rPr>
          <w:rFonts w:hint="eastAsia" w:ascii="Times New Roman" w:hAnsi="Times New Roman"/>
          <w:sz w:val="28"/>
          <w:szCs w:val="24"/>
          <w:highlight w:val="none"/>
          <w:lang w:val="en-US" w:eastAsia="zh-CN"/>
        </w:rPr>
        <w:t>八</w:t>
      </w:r>
      <w:r>
        <w:rPr>
          <w:rFonts w:hint="eastAsia" w:ascii="Times New Roman" w:hAnsi="Times New Roman"/>
          <w:sz w:val="28"/>
          <w:szCs w:val="24"/>
          <w:highlight w:val="none"/>
        </w:rPr>
        <w:t>、</w:t>
      </w:r>
      <w:bookmarkEnd w:id="162"/>
      <w:bookmarkEnd w:id="163"/>
      <w:bookmarkEnd w:id="164"/>
      <w:r>
        <w:rPr>
          <w:rFonts w:hint="eastAsia" w:ascii="Times New Roman" w:hAnsi="Times New Roman"/>
          <w:sz w:val="28"/>
          <w:szCs w:val="24"/>
          <w:highlight w:val="none"/>
        </w:rPr>
        <w:t>其他资料</w:t>
      </w:r>
    </w:p>
    <w:p>
      <w:pPr>
        <w:pageBreakBefore w:val="0"/>
        <w:shd w:val="clear" w:color="auto" w:fill="FFFFFF"/>
        <w:tabs>
          <w:tab w:val="left" w:pos="1290"/>
        </w:tabs>
        <w:kinsoku/>
        <w:wordWrap/>
        <w:overflowPunct/>
        <w:topLinePunct w:val="0"/>
        <w:autoSpaceDE w:val="0"/>
        <w:autoSpaceDN w:val="0"/>
        <w:bidi w:val="0"/>
        <w:adjustRightInd w:val="0"/>
        <w:spacing w:line="240" w:lineRule="auto"/>
        <w:jc w:val="center"/>
        <w:rPr>
          <w:rFonts w:hint="eastAsia" w:eastAsia="黑体"/>
          <w:color w:val="000000"/>
          <w:sz w:val="28"/>
          <w:szCs w:val="28"/>
          <w:highlight w:val="none"/>
          <w:shd w:val="clear" w:color="auto" w:fill="auto"/>
          <w:lang w:val="zh-CN"/>
        </w:rPr>
      </w:pPr>
      <w:r>
        <w:rPr>
          <w:highlight w:val="none"/>
        </w:rPr>
        <w:br w:type="page"/>
      </w:r>
      <w:bookmarkEnd w:id="159"/>
      <w:bookmarkEnd w:id="160"/>
      <w:bookmarkEnd w:id="161"/>
      <w:r>
        <w:rPr>
          <w:rFonts w:hint="eastAsia" w:ascii="黑体" w:eastAsia="黑体"/>
          <w:b/>
          <w:bCs/>
          <w:color w:val="000000"/>
          <w:sz w:val="36"/>
          <w:szCs w:val="28"/>
          <w:highlight w:val="none"/>
          <w:shd w:val="clear" w:color="auto" w:fill="auto"/>
          <w:lang w:val="zh-CN"/>
        </w:rPr>
        <w:t>投 标 函</w:t>
      </w:r>
    </w:p>
    <w:p>
      <w:pPr>
        <w:pageBreakBefore w:val="0"/>
        <w:shd w:val="clear" w:color="auto" w:fill="FFFFFF"/>
        <w:kinsoku/>
        <w:wordWrap/>
        <w:overflowPunct/>
        <w:topLinePunct w:val="0"/>
        <w:autoSpaceDE w:val="0"/>
        <w:autoSpaceDN w:val="0"/>
        <w:bidi w:val="0"/>
        <w:adjustRightInd w:val="0"/>
        <w:spacing w:line="240" w:lineRule="auto"/>
        <w:jc w:val="left"/>
        <w:rPr>
          <w:color w:val="000000"/>
          <w:sz w:val="28"/>
          <w:szCs w:val="28"/>
          <w:highlight w:val="none"/>
          <w:shd w:val="clear" w:color="auto" w:fill="auto"/>
          <w:lang w:val="zh-CN"/>
        </w:rPr>
      </w:pPr>
      <w:r>
        <w:rPr>
          <w:rFonts w:hint="eastAsia" w:ascii="宋体"/>
          <w:color w:val="000000"/>
          <w:sz w:val="28"/>
          <w:szCs w:val="28"/>
          <w:highlight w:val="none"/>
          <w:shd w:val="clear" w:color="auto" w:fill="auto"/>
        </w:rPr>
        <w:t>中车石家庄车辆有限公司</w:t>
      </w:r>
      <w:r>
        <w:rPr>
          <w:rFonts w:hint="eastAsia" w:ascii="宋体"/>
          <w:color w:val="000000"/>
          <w:sz w:val="28"/>
          <w:szCs w:val="28"/>
          <w:highlight w:val="none"/>
          <w:shd w:val="clear" w:color="auto" w:fill="auto"/>
          <w:lang w:val="zh-CN"/>
        </w:rPr>
        <w:t>：</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我方收到了贵方</w:t>
      </w:r>
      <w:r>
        <w:rPr>
          <w:rFonts w:hint="eastAsia" w:ascii="宋体"/>
          <w:color w:val="000000"/>
          <w:sz w:val="28"/>
          <w:szCs w:val="28"/>
          <w:highlight w:val="none"/>
          <w:u w:val="single"/>
          <w:shd w:val="clear" w:color="auto" w:fill="auto"/>
          <w:lang w:val="en-US" w:eastAsia="zh-CN"/>
        </w:rPr>
        <w:t xml:space="preserve">                        </w:t>
      </w:r>
      <w:r>
        <w:rPr>
          <w:rFonts w:hint="eastAsia"/>
          <w:color w:val="000000"/>
          <w:sz w:val="28"/>
          <w:szCs w:val="28"/>
          <w:highlight w:val="none"/>
          <w:u w:val="single"/>
          <w:shd w:val="clear" w:color="auto" w:fill="auto"/>
          <w:lang w:val="en-US" w:eastAsia="zh-CN"/>
        </w:rPr>
        <w:t xml:space="preserve"> </w:t>
      </w:r>
      <w:r>
        <w:rPr>
          <w:rFonts w:hint="eastAsia" w:ascii="宋体"/>
          <w:color w:val="000000"/>
          <w:sz w:val="28"/>
          <w:szCs w:val="28"/>
          <w:highlight w:val="none"/>
          <w:shd w:val="clear" w:color="auto" w:fill="auto"/>
          <w:lang w:val="en-US" w:eastAsia="zh-CN"/>
        </w:rPr>
        <w:t xml:space="preserve"> </w:t>
      </w:r>
      <w:r>
        <w:rPr>
          <w:rFonts w:hint="eastAsia" w:ascii="宋体"/>
          <w:color w:val="000000"/>
          <w:sz w:val="28"/>
          <w:szCs w:val="28"/>
          <w:highlight w:val="none"/>
          <w:shd w:val="clear" w:color="auto" w:fill="auto"/>
          <w:lang w:val="zh-CN"/>
        </w:rPr>
        <w:t>招标文件。经过详细研究，我方决定参加投标。</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1</w:t>
      </w:r>
      <w:r>
        <w:rPr>
          <w:rFonts w:hint="eastAsia" w:ascii="宋体"/>
          <w:color w:val="000000"/>
          <w:sz w:val="28"/>
          <w:szCs w:val="28"/>
          <w:highlight w:val="none"/>
          <w:shd w:val="clear" w:color="auto" w:fill="auto"/>
          <w:lang w:val="zh-CN"/>
        </w:rPr>
        <w:t>.我方授权</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r>
        <w:rPr>
          <w:rFonts w:hint="eastAsia" w:ascii="宋体"/>
          <w:color w:val="000000"/>
          <w:sz w:val="28"/>
          <w:szCs w:val="28"/>
          <w:highlight w:val="none"/>
          <w:shd w:val="clear" w:color="auto" w:fill="auto"/>
          <w:lang w:val="zh-CN"/>
        </w:rPr>
        <w:t>同志为全权代表，负责解释投标文件及处理有关适宜。</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2</w:t>
      </w:r>
      <w:r>
        <w:rPr>
          <w:rFonts w:hint="eastAsia" w:ascii="宋体"/>
          <w:color w:val="000000"/>
          <w:sz w:val="28"/>
          <w:szCs w:val="28"/>
          <w:highlight w:val="none"/>
          <w:shd w:val="clear" w:color="auto" w:fill="auto"/>
          <w:lang w:val="zh-CN"/>
        </w:rPr>
        <w:t>.我方愿意提供“投标须知”规定的全部投标文件。</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3</w:t>
      </w:r>
      <w:r>
        <w:rPr>
          <w:rFonts w:hint="eastAsia" w:ascii="宋体"/>
          <w:color w:val="000000"/>
          <w:sz w:val="28"/>
          <w:szCs w:val="28"/>
          <w:highlight w:val="none"/>
          <w:shd w:val="clear" w:color="auto" w:fill="auto"/>
          <w:lang w:val="zh-CN"/>
        </w:rPr>
        <w:t>.我方保证遵守招标文件中的有关规定。</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4</w:t>
      </w:r>
      <w:r>
        <w:rPr>
          <w:rFonts w:hint="eastAsia" w:ascii="宋体"/>
          <w:color w:val="000000"/>
          <w:sz w:val="28"/>
          <w:szCs w:val="28"/>
          <w:highlight w:val="none"/>
          <w:shd w:val="clear" w:color="auto" w:fill="auto"/>
          <w:lang w:val="zh-CN"/>
        </w:rPr>
        <w:t>.我方愿意向贵方提供所有与该项投标有关的数据和技术资料。</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5</w:t>
      </w:r>
      <w:r>
        <w:rPr>
          <w:rFonts w:hint="eastAsia" w:ascii="宋体"/>
          <w:color w:val="000000"/>
          <w:sz w:val="28"/>
          <w:szCs w:val="28"/>
          <w:highlight w:val="none"/>
          <w:shd w:val="clear" w:color="auto" w:fill="auto"/>
          <w:lang w:val="zh-CN"/>
        </w:rPr>
        <w:t>.如果我方的投标书被接受，我方愿意按照招标文件规定的内容按期、保质、保量完成。</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6</w:t>
      </w:r>
      <w:r>
        <w:rPr>
          <w:rFonts w:hint="eastAsia" w:ascii="宋体"/>
          <w:color w:val="000000"/>
          <w:sz w:val="28"/>
          <w:szCs w:val="28"/>
          <w:highlight w:val="none"/>
          <w:shd w:val="clear" w:color="auto" w:fill="auto"/>
          <w:lang w:val="zh-CN"/>
        </w:rPr>
        <w:t>.我方同意按照招标文件的规定，本投标书的有效期为自开标之日起</w:t>
      </w:r>
      <w:r>
        <w:rPr>
          <w:rFonts w:hint="eastAsia"/>
          <w:color w:val="000000"/>
          <w:sz w:val="28"/>
          <w:szCs w:val="28"/>
          <w:highlight w:val="none"/>
          <w:shd w:val="clear" w:color="auto" w:fill="auto"/>
          <w:lang w:val="en-US" w:eastAsia="zh-CN"/>
        </w:rPr>
        <w:t>90</w:t>
      </w:r>
      <w:r>
        <w:rPr>
          <w:rFonts w:hint="eastAsia" w:ascii="宋体"/>
          <w:color w:val="000000"/>
          <w:sz w:val="28"/>
          <w:szCs w:val="28"/>
          <w:highlight w:val="none"/>
          <w:shd w:val="clear" w:color="auto" w:fill="auto"/>
          <w:lang w:val="zh-CN"/>
        </w:rPr>
        <w:t>天。如果中标，从开标（合同开始生效）直至合同履行完毕止，本投标书有效。</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7</w:t>
      </w:r>
      <w:r>
        <w:rPr>
          <w:rFonts w:hint="eastAsia" w:ascii="宋体"/>
          <w:color w:val="000000"/>
          <w:sz w:val="28"/>
          <w:szCs w:val="28"/>
          <w:highlight w:val="none"/>
          <w:shd w:val="clear" w:color="auto" w:fill="auto"/>
          <w:lang w:val="zh-CN"/>
        </w:rPr>
        <w:t>.本投标违约责任按中华人民共和国招标投标法和中华人民共和国合同法执行。</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地址：</w:t>
      </w: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邮编：</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收件人：</w:t>
      </w: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电话：</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rFonts w:hint="eastAsia" w:ascii="宋体"/>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传真：                         开户行：</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银行帐号：                     税号：</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rFonts w:ascii="宋体"/>
          <w:color w:val="000000"/>
          <w:sz w:val="28"/>
          <w:szCs w:val="28"/>
          <w:highlight w:val="non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单位名称</w:t>
      </w:r>
      <w:r>
        <w:rPr>
          <w:rFonts w:ascii="宋体"/>
          <w:color w:val="000000"/>
          <w:sz w:val="28"/>
          <w:szCs w:val="28"/>
          <w:highlight w:val="none"/>
          <w:shd w:val="clear" w:color="auto" w:fill="auto"/>
          <w:lang w:val="zh-CN"/>
        </w:rPr>
        <w:t>(</w:t>
      </w:r>
      <w:r>
        <w:rPr>
          <w:rFonts w:hint="eastAsia" w:ascii="宋体"/>
          <w:color w:val="000000"/>
          <w:sz w:val="28"/>
          <w:szCs w:val="28"/>
          <w:highlight w:val="none"/>
          <w:shd w:val="clear" w:color="auto" w:fill="auto"/>
          <w:lang w:val="zh-CN"/>
        </w:rPr>
        <w:t>公章</w:t>
      </w:r>
      <w:r>
        <w:rPr>
          <w:rFonts w:ascii="宋体"/>
          <w:color w:val="000000"/>
          <w:sz w:val="28"/>
          <w:szCs w:val="28"/>
          <w:highlight w:val="none"/>
          <w:shd w:val="clear" w:color="auto" w:fill="auto"/>
          <w:lang w:val="zh-CN"/>
        </w:rPr>
        <w:t>)</w:t>
      </w:r>
      <w:r>
        <w:rPr>
          <w:rFonts w:hint="eastAsia" w:ascii="宋体"/>
          <w:color w:val="000000"/>
          <w:sz w:val="28"/>
          <w:szCs w:val="28"/>
          <w:highlight w:val="none"/>
          <w:shd w:val="clear" w:color="auto" w:fill="auto"/>
          <w:lang w:val="zh-CN"/>
        </w:rPr>
        <w:t>：</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 xml:space="preserve">                        </w:t>
      </w:r>
      <w:r>
        <w:rPr>
          <w:rFonts w:hint="eastAsia"/>
          <w:color w:val="000000"/>
          <w:sz w:val="28"/>
          <w:szCs w:val="28"/>
          <w:highlight w:val="none"/>
          <w:shd w:val="clear" w:color="auto" w:fill="auto"/>
          <w:lang w:val="zh-CN"/>
        </w:rPr>
        <w:t>被授权</w:t>
      </w:r>
      <w:r>
        <w:rPr>
          <w:rFonts w:hint="eastAsia" w:ascii="宋体"/>
          <w:color w:val="000000"/>
          <w:sz w:val="28"/>
          <w:szCs w:val="28"/>
          <w:highlight w:val="none"/>
          <w:shd w:val="clear" w:color="auto" w:fill="auto"/>
          <w:lang w:val="zh-CN"/>
        </w:rPr>
        <w:t>代表签字：</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color w:val="000000"/>
          <w:sz w:val="28"/>
          <w:szCs w:val="28"/>
          <w:highlight w:val="non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职</w:t>
      </w: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务：</w:t>
      </w:r>
    </w:p>
    <w:p>
      <w:pPr>
        <w:pageBreakBefore w:val="0"/>
        <w:shd w:val="clear" w:color="auto" w:fill="FFFFFF"/>
        <w:kinsoku/>
        <w:wordWrap/>
        <w:overflowPunct/>
        <w:topLinePunct w:val="0"/>
        <w:autoSpaceDE w:val="0"/>
        <w:autoSpaceDN w:val="0"/>
        <w:bidi w:val="0"/>
        <w:adjustRightInd w:val="0"/>
        <w:spacing w:line="240" w:lineRule="auto"/>
        <w:ind w:firstLine="560" w:firstLineChars="200"/>
        <w:jc w:val="left"/>
        <w:rPr>
          <w:rFonts w:hint="eastAsia"/>
          <w:color w:val="000000"/>
          <w:sz w:val="28"/>
          <w:szCs w:val="28"/>
          <w:highlight w:val="non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日</w:t>
      </w: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期：</w:t>
      </w: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年</w:t>
      </w: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月</w:t>
      </w: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日</w:t>
      </w:r>
    </w:p>
    <w:p>
      <w:pPr>
        <w:pageBreakBefore w:val="0"/>
        <w:shd w:val="clear" w:color="auto" w:fill="FFFFFF"/>
        <w:tabs>
          <w:tab w:val="left" w:pos="1290"/>
        </w:tabs>
        <w:kinsoku/>
        <w:wordWrap/>
        <w:overflowPunct/>
        <w:topLinePunct w:val="0"/>
        <w:autoSpaceDE w:val="0"/>
        <w:autoSpaceDN w:val="0"/>
        <w:bidi w:val="0"/>
        <w:adjustRightInd w:val="0"/>
        <w:spacing w:line="240" w:lineRule="auto"/>
        <w:ind w:firstLine="723" w:firstLineChars="200"/>
        <w:jc w:val="left"/>
        <w:rPr>
          <w:rFonts w:ascii="黑体" w:eastAsia="黑体"/>
          <w:b/>
          <w:bCs/>
          <w:color w:val="000000"/>
          <w:sz w:val="36"/>
          <w:szCs w:val="28"/>
          <w:highlight w:val="none"/>
          <w:shd w:val="clear" w:color="auto" w:fill="auto"/>
          <w:lang w:val="zh-CN"/>
        </w:rPr>
      </w:pPr>
    </w:p>
    <w:p>
      <w:pPr>
        <w:pStyle w:val="63"/>
        <w:rPr>
          <w:rFonts w:ascii="黑体" w:eastAsia="黑体"/>
          <w:b/>
          <w:bCs/>
          <w:color w:val="000000"/>
          <w:sz w:val="36"/>
          <w:szCs w:val="28"/>
          <w:highlight w:val="none"/>
          <w:shd w:val="clear" w:color="auto" w:fill="auto"/>
          <w:lang w:val="zh-CN"/>
        </w:rPr>
      </w:pPr>
    </w:p>
    <w:p>
      <w:pPr>
        <w:pStyle w:val="65"/>
        <w:rPr>
          <w:rFonts w:ascii="黑体" w:eastAsia="黑体"/>
          <w:b/>
          <w:bCs/>
          <w:color w:val="000000"/>
          <w:sz w:val="36"/>
          <w:szCs w:val="28"/>
          <w:highlight w:val="none"/>
          <w:shd w:val="clear" w:color="auto" w:fill="auto"/>
          <w:lang w:val="zh-CN"/>
        </w:rPr>
      </w:pPr>
    </w:p>
    <w:p>
      <w:pPr>
        <w:rPr>
          <w:rFonts w:ascii="黑体" w:eastAsia="黑体"/>
          <w:b/>
          <w:bCs/>
          <w:color w:val="000000"/>
          <w:sz w:val="36"/>
          <w:szCs w:val="28"/>
          <w:highlight w:val="none"/>
          <w:shd w:val="clear" w:color="auto" w:fill="auto"/>
          <w:lang w:val="zh-CN"/>
        </w:rPr>
      </w:pPr>
    </w:p>
    <w:p>
      <w:pPr>
        <w:pStyle w:val="63"/>
        <w:rPr>
          <w:rFonts w:ascii="黑体" w:eastAsia="黑体"/>
          <w:b/>
          <w:bCs/>
          <w:color w:val="000000"/>
          <w:sz w:val="36"/>
          <w:szCs w:val="28"/>
          <w:highlight w:val="none"/>
          <w:shd w:val="clear" w:color="auto" w:fill="auto"/>
          <w:lang w:val="zh-CN"/>
        </w:rPr>
      </w:pPr>
    </w:p>
    <w:p>
      <w:pPr>
        <w:pStyle w:val="65"/>
        <w:rPr>
          <w:rFonts w:ascii="黑体" w:eastAsia="黑体"/>
          <w:b/>
          <w:bCs/>
          <w:color w:val="000000"/>
          <w:sz w:val="36"/>
          <w:szCs w:val="28"/>
          <w:highlight w:val="none"/>
          <w:shd w:val="clear" w:color="auto" w:fill="auto"/>
          <w:lang w:val="zh-CN"/>
        </w:rPr>
      </w:pPr>
    </w:p>
    <w:p>
      <w:pPr>
        <w:rPr>
          <w:rFonts w:ascii="黑体" w:eastAsia="黑体"/>
          <w:b/>
          <w:bCs/>
          <w:color w:val="000000"/>
          <w:sz w:val="36"/>
          <w:szCs w:val="28"/>
          <w:highlight w:val="none"/>
          <w:shd w:val="clear" w:color="auto" w:fill="auto"/>
          <w:lang w:val="zh-CN"/>
        </w:rPr>
      </w:pPr>
    </w:p>
    <w:p>
      <w:pPr>
        <w:pStyle w:val="63"/>
        <w:rPr>
          <w:rFonts w:ascii="黑体" w:eastAsia="黑体"/>
          <w:b/>
          <w:bCs/>
          <w:color w:val="000000"/>
          <w:sz w:val="36"/>
          <w:szCs w:val="28"/>
          <w:highlight w:val="none"/>
          <w:shd w:val="clear" w:color="auto" w:fill="auto"/>
          <w:lang w:val="zh-CN"/>
        </w:rPr>
      </w:pPr>
    </w:p>
    <w:p>
      <w:pPr>
        <w:shd w:val="clear" w:color="auto" w:fill="FFFFFF"/>
        <w:autoSpaceDE w:val="0"/>
        <w:autoSpaceDN w:val="0"/>
        <w:adjustRightInd w:val="0"/>
        <w:spacing w:before="240" w:after="204" w:line="480" w:lineRule="exact"/>
        <w:jc w:val="center"/>
        <w:rPr>
          <w:rFonts w:ascii="黑体" w:eastAsia="黑体"/>
          <w:b/>
          <w:bCs/>
          <w:color w:val="000000"/>
          <w:sz w:val="36"/>
          <w:szCs w:val="36"/>
          <w:highlight w:val="none"/>
          <w:shd w:val="clear" w:color="auto" w:fill="auto"/>
          <w:lang w:val="zh-CN"/>
        </w:rPr>
      </w:pPr>
      <w:r>
        <w:rPr>
          <w:rFonts w:hint="eastAsia" w:ascii="黑体" w:eastAsia="黑体"/>
          <w:b/>
          <w:bCs/>
          <w:color w:val="000000"/>
          <w:sz w:val="36"/>
          <w:szCs w:val="36"/>
          <w:highlight w:val="none"/>
          <w:shd w:val="clear" w:color="auto" w:fill="auto"/>
          <w:lang w:val="zh-CN"/>
        </w:rPr>
        <w:t>法定代表人授权书</w:t>
      </w:r>
    </w:p>
    <w:p>
      <w:pPr>
        <w:shd w:val="clear" w:color="auto" w:fill="FFFFFF"/>
        <w:autoSpaceDE w:val="0"/>
        <w:autoSpaceDN w:val="0"/>
        <w:adjustRightInd w:val="0"/>
        <w:spacing w:before="240" w:after="204" w:line="480" w:lineRule="exact"/>
        <w:ind w:firstLine="880"/>
        <w:jc w:val="center"/>
        <w:rPr>
          <w:rFonts w:ascii="宋体"/>
          <w:color w:val="000000"/>
          <w:sz w:val="28"/>
          <w:szCs w:val="28"/>
          <w:highlight w:val="none"/>
          <w:shd w:val="clear" w:color="auto" w:fill="auto"/>
          <w:lang w:val="zh-CN"/>
        </w:rPr>
      </w:pPr>
    </w:p>
    <w:p>
      <w:pPr>
        <w:shd w:val="clear" w:color="auto" w:fill="FFFFFF"/>
        <w:autoSpaceDE w:val="0"/>
        <w:autoSpaceDN w:val="0"/>
        <w:adjustRightInd w:val="0"/>
        <w:spacing w:line="480" w:lineRule="auto"/>
        <w:ind w:firstLine="599"/>
        <w:rPr>
          <w:rFonts w:hint="eastAsia" w:ascii="宋体"/>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本授权书声明：我方授权</w:t>
      </w:r>
      <w:r>
        <w:rPr>
          <w:rFonts w:ascii="宋体"/>
          <w:color w:val="000000"/>
          <w:sz w:val="28"/>
          <w:szCs w:val="28"/>
          <w:highlight w:val="none"/>
          <w:u w:val="single"/>
          <w:shd w:val="clear" w:color="auto" w:fill="auto"/>
          <w:lang w:val="zh-CN"/>
        </w:rPr>
        <w:t xml:space="preserve">         </w:t>
      </w:r>
      <w:r>
        <w:rPr>
          <w:rFonts w:hint="eastAsia" w:ascii="宋体"/>
          <w:color w:val="000000"/>
          <w:sz w:val="28"/>
          <w:szCs w:val="28"/>
          <w:highlight w:val="none"/>
          <w:u w:val="single"/>
          <w:shd w:val="clear" w:color="auto" w:fill="auto"/>
          <w:lang w:val="zh-CN"/>
        </w:rPr>
        <w:t xml:space="preserve">    </w:t>
      </w:r>
      <w:r>
        <w:rPr>
          <w:rFonts w:hint="eastAsia" w:ascii="宋体"/>
          <w:color w:val="000000"/>
          <w:sz w:val="28"/>
          <w:szCs w:val="28"/>
          <w:highlight w:val="none"/>
          <w:shd w:val="clear" w:color="auto" w:fill="auto"/>
          <w:lang w:val="zh-CN"/>
        </w:rPr>
        <w:t>（姓名）</w:t>
      </w:r>
      <w:r>
        <w:rPr>
          <w:rFonts w:ascii="宋体"/>
          <w:color w:val="000000"/>
          <w:sz w:val="28"/>
          <w:szCs w:val="28"/>
          <w:highlight w:val="none"/>
          <w:u w:val="single"/>
          <w:shd w:val="clear" w:color="auto" w:fill="auto"/>
          <w:lang w:val="zh-CN"/>
        </w:rPr>
        <w:t xml:space="preserve">  </w:t>
      </w:r>
      <w:r>
        <w:rPr>
          <w:rFonts w:hint="eastAsia" w:ascii="宋体"/>
          <w:color w:val="000000"/>
          <w:sz w:val="28"/>
          <w:szCs w:val="28"/>
          <w:highlight w:val="none"/>
          <w:u w:val="single"/>
          <w:shd w:val="clear" w:color="auto" w:fill="auto"/>
          <w:lang w:val="zh-CN"/>
        </w:rPr>
        <w:t xml:space="preserve"> </w:t>
      </w:r>
      <w:r>
        <w:rPr>
          <w:rFonts w:ascii="宋体"/>
          <w:color w:val="000000"/>
          <w:sz w:val="28"/>
          <w:szCs w:val="28"/>
          <w:highlight w:val="none"/>
          <w:u w:val="single"/>
          <w:shd w:val="clear" w:color="auto" w:fill="auto"/>
          <w:lang w:val="zh-CN"/>
        </w:rPr>
        <w:t xml:space="preserve">     </w:t>
      </w:r>
      <w:r>
        <w:rPr>
          <w:rFonts w:hint="eastAsia" w:ascii="宋体"/>
          <w:color w:val="000000"/>
          <w:sz w:val="28"/>
          <w:szCs w:val="28"/>
          <w:highlight w:val="none"/>
          <w:u w:val="single"/>
          <w:shd w:val="clear" w:color="auto" w:fill="auto"/>
          <w:lang w:val="zh-CN"/>
        </w:rPr>
        <w:t xml:space="preserve">    </w:t>
      </w:r>
      <w:r>
        <w:rPr>
          <w:rFonts w:hint="eastAsia" w:ascii="宋体"/>
          <w:color w:val="000000"/>
          <w:sz w:val="28"/>
          <w:szCs w:val="28"/>
          <w:highlight w:val="none"/>
          <w:shd w:val="clear" w:color="auto" w:fill="auto"/>
          <w:lang w:val="zh-CN"/>
        </w:rPr>
        <w:t>（职务）</w:t>
      </w:r>
    </w:p>
    <w:p>
      <w:pPr>
        <w:shd w:val="clear" w:color="auto" w:fill="FFFFFF"/>
        <w:autoSpaceDE w:val="0"/>
        <w:autoSpaceDN w:val="0"/>
        <w:adjustRightInd w:val="0"/>
        <w:spacing w:line="480" w:lineRule="auto"/>
        <w:rPr>
          <w:rFonts w:hint="eastAsia" w:ascii="宋体"/>
          <w:color w:val="000000"/>
          <w:sz w:val="28"/>
          <w:szCs w:val="28"/>
          <w:highlight w:val="none"/>
          <w:shd w:val="clear" w:color="auto" w:fill="auto"/>
          <w:lang w:val="zh-CN"/>
        </w:rPr>
      </w:pPr>
      <w:r>
        <w:rPr>
          <w:rFonts w:hint="eastAsia" w:ascii="宋体"/>
          <w:color w:val="000000"/>
          <w:sz w:val="28"/>
          <w:szCs w:val="28"/>
          <w:highlight w:val="none"/>
          <w:u w:val="single"/>
          <w:shd w:val="clear" w:color="auto" w:fill="auto"/>
          <w:lang w:val="en-US" w:eastAsia="zh-CN"/>
        </w:rPr>
        <w:t xml:space="preserve">                    </w:t>
      </w:r>
      <w:r>
        <w:rPr>
          <w:rFonts w:hint="eastAsia" w:ascii="宋体"/>
          <w:color w:val="000000"/>
          <w:sz w:val="28"/>
          <w:szCs w:val="28"/>
          <w:highlight w:val="none"/>
          <w:u w:val="none"/>
          <w:shd w:val="clear" w:color="auto" w:fill="auto"/>
          <w:lang w:val="en-US" w:eastAsia="zh-CN"/>
        </w:rPr>
        <w:t>（身份证号）</w:t>
      </w:r>
      <w:r>
        <w:rPr>
          <w:rFonts w:hint="eastAsia" w:ascii="宋体"/>
          <w:color w:val="000000"/>
          <w:sz w:val="28"/>
          <w:szCs w:val="28"/>
          <w:highlight w:val="none"/>
          <w:shd w:val="clear" w:color="auto" w:fill="auto"/>
          <w:lang w:val="zh-CN"/>
        </w:rPr>
        <w:t>为本单位的合法投标人，参加贵公司</w:t>
      </w:r>
    </w:p>
    <w:p>
      <w:pPr>
        <w:shd w:val="clear" w:color="auto" w:fill="FFFFFF"/>
        <w:autoSpaceDE w:val="0"/>
        <w:autoSpaceDN w:val="0"/>
        <w:adjustRightInd w:val="0"/>
        <w:spacing w:line="480" w:lineRule="auto"/>
        <w:rPr>
          <w:rFonts w:ascii="宋体"/>
          <w:color w:val="000000"/>
          <w:sz w:val="28"/>
          <w:szCs w:val="28"/>
          <w:highlight w:val="none"/>
          <w:shd w:val="clear" w:color="auto" w:fill="auto"/>
          <w:lang w:val="zh-CN"/>
        </w:rPr>
      </w:pPr>
      <w:r>
        <w:rPr>
          <w:rFonts w:hint="eastAsia"/>
          <w:color w:val="000000"/>
          <w:sz w:val="28"/>
          <w:szCs w:val="28"/>
          <w:highlight w:val="none"/>
          <w:u w:val="single"/>
          <w:shd w:val="clear" w:color="auto" w:fill="auto"/>
          <w:lang w:val="en-US" w:eastAsia="zh-CN"/>
        </w:rPr>
        <w:t xml:space="preserve">         </w:t>
      </w:r>
      <w:r>
        <w:rPr>
          <w:rFonts w:hint="eastAsia" w:ascii="宋体"/>
          <w:color w:val="000000"/>
          <w:sz w:val="28"/>
          <w:szCs w:val="28"/>
          <w:highlight w:val="none"/>
          <w:shd w:val="clear" w:color="auto" w:fill="auto"/>
          <w:lang w:val="zh-CN"/>
        </w:rPr>
        <w:t>标</w:t>
      </w:r>
      <w:r>
        <w:rPr>
          <w:rFonts w:hint="eastAsia" w:ascii="宋体" w:hAnsi="宋体"/>
          <w:color w:val="000000"/>
          <w:sz w:val="28"/>
          <w:szCs w:val="28"/>
          <w:highlight w:val="none"/>
          <w:shd w:val="clear" w:color="auto" w:fill="auto"/>
          <w:lang w:val="zh-CN"/>
        </w:rPr>
        <w:t>招标项目的投标活动，全权代表本单位处理此次投标活动中的一切事务，该同志签署的与本次投标有关的一切文件，</w:t>
      </w:r>
      <w:r>
        <w:rPr>
          <w:rFonts w:hint="eastAsia" w:ascii="宋体"/>
          <w:color w:val="000000"/>
          <w:sz w:val="28"/>
          <w:szCs w:val="28"/>
          <w:highlight w:val="none"/>
          <w:shd w:val="clear" w:color="auto" w:fill="auto"/>
          <w:lang w:val="zh-CN"/>
        </w:rPr>
        <w:t>我单位予以承认。</w:t>
      </w:r>
    </w:p>
    <w:p>
      <w:pPr>
        <w:shd w:val="clear" w:color="auto" w:fill="FFFFFF"/>
        <w:autoSpaceDE w:val="0"/>
        <w:autoSpaceDN w:val="0"/>
        <w:adjustRightInd w:val="0"/>
        <w:spacing w:line="480" w:lineRule="auto"/>
        <w:ind w:firstLine="599"/>
        <w:rPr>
          <w:rFonts w:hint="eastAsia" w:ascii="宋体"/>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特此声明。</w:t>
      </w:r>
    </w:p>
    <w:p>
      <w:pPr>
        <w:shd w:val="clear" w:color="auto" w:fill="FFFFFF"/>
        <w:autoSpaceDE w:val="0"/>
        <w:autoSpaceDN w:val="0"/>
        <w:adjustRightInd w:val="0"/>
        <w:spacing w:line="520" w:lineRule="exact"/>
        <w:rPr>
          <w:rFonts w:ascii="宋体"/>
          <w:color w:val="000000"/>
          <w:sz w:val="28"/>
          <w:szCs w:val="28"/>
          <w:highlight w:val="none"/>
          <w:shd w:val="clear" w:color="auto" w:fill="auto"/>
          <w:lang w:val="zh-CN"/>
        </w:rPr>
      </w:pPr>
      <w:r>
        <w:rPr>
          <w:rFonts w:ascii="宋体"/>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投标单位名称（</w:t>
      </w:r>
      <w:r>
        <w:rPr>
          <w:rFonts w:hint="eastAsia" w:ascii="宋体"/>
          <w:color w:val="000000"/>
          <w:sz w:val="28"/>
          <w:highlight w:val="none"/>
          <w:shd w:val="clear" w:color="auto" w:fill="auto"/>
        </w:rPr>
        <w:t>公章</w:t>
      </w:r>
      <w:r>
        <w:rPr>
          <w:rFonts w:hint="eastAsia" w:ascii="宋体"/>
          <w:color w:val="000000"/>
          <w:sz w:val="28"/>
          <w:szCs w:val="28"/>
          <w:highlight w:val="none"/>
          <w:shd w:val="clear" w:color="auto" w:fill="auto"/>
          <w:lang w:val="zh-CN"/>
        </w:rPr>
        <w:t>）：</w:t>
      </w:r>
      <w:r>
        <w:rPr>
          <w:rFonts w:ascii="宋体"/>
          <w:color w:val="000000"/>
          <w:sz w:val="28"/>
          <w:szCs w:val="28"/>
          <w:highlight w:val="none"/>
          <w:u w:val="single"/>
          <w:shd w:val="clear" w:color="auto" w:fill="auto"/>
          <w:lang w:val="zh-CN"/>
        </w:rPr>
        <w:t xml:space="preserve">         </w:t>
      </w:r>
      <w:r>
        <w:rPr>
          <w:rFonts w:hint="eastAsia" w:ascii="宋体"/>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520" w:lineRule="exact"/>
        <w:rPr>
          <w:rFonts w:hint="eastAsia" w:ascii="宋体"/>
          <w:color w:val="000000"/>
          <w:sz w:val="28"/>
          <w:szCs w:val="28"/>
          <w:highlight w:val="none"/>
          <w:shd w:val="clear" w:color="auto" w:fill="auto"/>
          <w:lang w:val="zh-CN"/>
        </w:rPr>
      </w:pPr>
    </w:p>
    <w:p>
      <w:pPr>
        <w:shd w:val="clear" w:color="auto" w:fill="FFFFFF"/>
        <w:autoSpaceDE w:val="0"/>
        <w:autoSpaceDN w:val="0"/>
        <w:adjustRightInd w:val="0"/>
        <w:spacing w:line="520" w:lineRule="exact"/>
        <w:ind w:firstLine="560" w:firstLineChars="200"/>
        <w:rPr>
          <w:rFonts w:ascii="宋体"/>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法定代表人签字：</w:t>
      </w:r>
      <w:r>
        <w:rPr>
          <w:rFonts w:ascii="宋体"/>
          <w:color w:val="000000"/>
          <w:sz w:val="28"/>
          <w:szCs w:val="28"/>
          <w:highlight w:val="none"/>
          <w:u w:val="single"/>
          <w:shd w:val="clear" w:color="auto" w:fill="auto"/>
          <w:lang w:val="zh-CN"/>
        </w:rPr>
        <w:t xml:space="preserve">         </w:t>
      </w:r>
      <w:r>
        <w:rPr>
          <w:rFonts w:hint="eastAsia" w:ascii="宋体"/>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520" w:lineRule="exact"/>
        <w:rPr>
          <w:rFonts w:hint="eastAsia" w:ascii="宋体"/>
          <w:color w:val="000000"/>
          <w:sz w:val="28"/>
          <w:szCs w:val="28"/>
          <w:highlight w:val="none"/>
          <w:shd w:val="clear" w:color="auto" w:fill="auto"/>
          <w:lang w:val="zh-CN"/>
        </w:rPr>
      </w:pPr>
    </w:p>
    <w:p>
      <w:pPr>
        <w:shd w:val="clear" w:color="auto" w:fill="FFFFFF"/>
        <w:autoSpaceDE w:val="0"/>
        <w:autoSpaceDN w:val="0"/>
        <w:adjustRightInd w:val="0"/>
        <w:spacing w:line="520" w:lineRule="exact"/>
        <w:ind w:firstLine="560" w:firstLineChars="200"/>
        <w:rPr>
          <w:rFonts w:ascii="宋体"/>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被授权代表签字：</w:t>
      </w:r>
      <w:r>
        <w:rPr>
          <w:rFonts w:ascii="宋体"/>
          <w:color w:val="000000"/>
          <w:sz w:val="28"/>
          <w:szCs w:val="28"/>
          <w:highlight w:val="none"/>
          <w:u w:val="single"/>
          <w:shd w:val="clear" w:color="auto" w:fill="auto"/>
          <w:lang w:val="zh-CN"/>
        </w:rPr>
        <w:t xml:space="preserve">         </w:t>
      </w:r>
      <w:r>
        <w:rPr>
          <w:rFonts w:hint="eastAsia" w:ascii="宋体"/>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520" w:lineRule="exact"/>
        <w:ind w:firstLine="3360"/>
        <w:rPr>
          <w:rFonts w:hint="eastAsia" w:ascii="宋体"/>
          <w:color w:val="000000"/>
          <w:sz w:val="28"/>
          <w:szCs w:val="28"/>
          <w:highlight w:val="none"/>
          <w:shd w:val="clear" w:color="auto" w:fill="auto"/>
          <w:lang w:val="zh-CN"/>
        </w:rPr>
      </w:pPr>
      <w:r>
        <w:rPr>
          <w:rFonts w:ascii="宋体"/>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 xml:space="preserve">  </w:t>
      </w:r>
    </w:p>
    <w:p>
      <w:pPr>
        <w:shd w:val="clear" w:color="auto" w:fill="FFFFFF"/>
        <w:autoSpaceDE w:val="0"/>
        <w:autoSpaceDN w:val="0"/>
        <w:adjustRightInd w:val="0"/>
        <w:spacing w:line="520" w:lineRule="exact"/>
        <w:ind w:firstLine="560" w:firstLineChars="200"/>
        <w:rPr>
          <w:rFonts w:ascii="宋体"/>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 xml:space="preserve">日      期：  </w:t>
      </w:r>
      <w:r>
        <w:rPr>
          <w:rFonts w:ascii="宋体"/>
          <w:color w:val="000000"/>
          <w:sz w:val="28"/>
          <w:szCs w:val="28"/>
          <w:highlight w:val="none"/>
          <w:u w:val="single"/>
          <w:shd w:val="clear" w:color="auto" w:fill="auto"/>
          <w:lang w:val="zh-CN"/>
        </w:rPr>
        <w:t xml:space="preserve">         </w:t>
      </w:r>
      <w:r>
        <w:rPr>
          <w:rFonts w:hint="eastAsia" w:ascii="宋体"/>
          <w:color w:val="000000"/>
          <w:sz w:val="28"/>
          <w:szCs w:val="28"/>
          <w:highlight w:val="none"/>
          <w:u w:val="single"/>
          <w:shd w:val="clear" w:color="auto" w:fill="auto"/>
          <w:lang w:val="zh-CN"/>
        </w:rPr>
        <w:t xml:space="preserve">                         </w:t>
      </w:r>
    </w:p>
    <w:p>
      <w:pPr>
        <w:shd w:val="clear" w:color="auto" w:fill="FFFFFF"/>
        <w:autoSpaceDE w:val="0"/>
        <w:autoSpaceDN w:val="0"/>
        <w:adjustRightInd w:val="0"/>
        <w:ind w:firstLine="2388"/>
        <w:rPr>
          <w:rFonts w:ascii="宋体"/>
          <w:color w:val="000000"/>
          <w:sz w:val="28"/>
          <w:szCs w:val="28"/>
          <w:highlight w:val="none"/>
          <w:shd w:val="clear" w:color="auto" w:fill="auto"/>
          <w:lang w:val="zh-CN"/>
        </w:rPr>
      </w:pPr>
      <w:r>
        <w:rPr>
          <w:color w:val="000000"/>
          <w:sz w:val="24"/>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203200</wp:posOffset>
                </wp:positionV>
                <wp:extent cx="5736590" cy="2016125"/>
                <wp:effectExtent l="4445" t="4445" r="12065" b="17780"/>
                <wp:wrapNone/>
                <wp:docPr id="18" name="文本框 18"/>
                <wp:cNvGraphicFramePr/>
                <a:graphic xmlns:a="http://schemas.openxmlformats.org/drawingml/2006/main">
                  <a:graphicData uri="http://schemas.microsoft.com/office/word/2010/wordprocessingShape">
                    <wps:wsp>
                      <wps:cNvSpPr txBox="1"/>
                      <wps:spPr>
                        <a:xfrm>
                          <a:off x="1714500" y="7554595"/>
                          <a:ext cx="5372100" cy="2016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30"/>
                                <w:szCs w:val="30"/>
                              </w:rPr>
                            </w:pPr>
                          </w:p>
                          <w:p>
                            <w:pPr>
                              <w:jc w:val="center"/>
                              <w:rPr>
                                <w:rFonts w:hint="eastAsia"/>
                                <w:sz w:val="30"/>
                                <w:szCs w:val="30"/>
                              </w:rPr>
                            </w:pPr>
                          </w:p>
                          <w:p>
                            <w:pPr>
                              <w:jc w:val="center"/>
                              <w:rPr>
                                <w:rFonts w:hint="eastAsia"/>
                                <w:sz w:val="28"/>
                                <w:szCs w:val="28"/>
                                <w:highlight w:val="none"/>
                              </w:rPr>
                            </w:pPr>
                            <w:r>
                              <w:rPr>
                                <w:rFonts w:hint="eastAsia"/>
                                <w:color w:val="0000FF"/>
                                <w:sz w:val="28"/>
                                <w:szCs w:val="28"/>
                                <w:highlight w:val="none"/>
                                <w:lang w:eastAsia="zh-CN"/>
                              </w:rPr>
                              <w:t>法人和被授权代表</w:t>
                            </w:r>
                            <w:r>
                              <w:rPr>
                                <w:rFonts w:hint="eastAsia"/>
                                <w:sz w:val="28"/>
                                <w:szCs w:val="28"/>
                                <w:highlight w:val="none"/>
                              </w:rPr>
                              <w:t>身份证复印件粘贴处</w:t>
                            </w:r>
                          </w:p>
                        </w:txbxContent>
                      </wps:txbx>
                      <wps:bodyPr upright="1"/>
                    </wps:wsp>
                  </a:graphicData>
                </a:graphic>
              </wp:anchor>
            </w:drawing>
          </mc:Choice>
          <mc:Fallback>
            <w:pict>
              <v:shape id="_x0000_s1026" o:spid="_x0000_s1026" o:spt="202" type="#_x0000_t202" style="position:absolute;left:0pt;margin-left:-0.6pt;margin-top:16pt;height:158.75pt;width:451.7pt;z-index:251660288;mso-width-relative:page;mso-height-relative:page;" fillcolor="#FFFFFF" filled="t" stroked="t" coordsize="21600,21600" o:gfxdata="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p/Wd2AAAAAkBAAAPAAAAAAAAAAEAIAAAACIAAABkcnMv&#10;ZG93bnJldi54bWxQSwECFAAUAAAACACHTuJAcaGxkQMCAAAFBAAADgAAAAAAAAABACAAAAAnAQAA&#10;ZHJzL2Uyb0RvYy54bWxQSwUGAAAAAAYABgBZAQAAnAUAAAAA&#10;">
                <v:fill on="t" focussize="0,0"/>
                <v:stroke color="#000000" joinstyle="miter"/>
                <v:imagedata o:title=""/>
                <o:lock v:ext="edit" aspectratio="f"/>
                <v:textbox>
                  <w:txbxContent>
                    <w:p>
                      <w:pPr>
                        <w:jc w:val="center"/>
                        <w:rPr>
                          <w:rFonts w:hint="eastAsia"/>
                          <w:sz w:val="30"/>
                          <w:szCs w:val="30"/>
                        </w:rPr>
                      </w:pPr>
                    </w:p>
                    <w:p>
                      <w:pPr>
                        <w:jc w:val="center"/>
                        <w:rPr>
                          <w:rFonts w:hint="eastAsia"/>
                          <w:sz w:val="30"/>
                          <w:szCs w:val="30"/>
                        </w:rPr>
                      </w:pPr>
                    </w:p>
                    <w:p>
                      <w:pPr>
                        <w:jc w:val="center"/>
                        <w:rPr>
                          <w:rFonts w:hint="eastAsia"/>
                          <w:sz w:val="28"/>
                          <w:szCs w:val="28"/>
                          <w:highlight w:val="none"/>
                        </w:rPr>
                      </w:pPr>
                      <w:r>
                        <w:rPr>
                          <w:rFonts w:hint="eastAsia"/>
                          <w:color w:val="0000FF"/>
                          <w:sz w:val="28"/>
                          <w:szCs w:val="28"/>
                          <w:highlight w:val="none"/>
                          <w:lang w:eastAsia="zh-CN"/>
                        </w:rPr>
                        <w:t>法人和被授权代表</w:t>
                      </w:r>
                      <w:r>
                        <w:rPr>
                          <w:rFonts w:hint="eastAsia"/>
                          <w:sz w:val="28"/>
                          <w:szCs w:val="28"/>
                          <w:highlight w:val="none"/>
                        </w:rPr>
                        <w:t>身份证复印件粘贴处</w:t>
                      </w:r>
                    </w:p>
                  </w:txbxContent>
                </v:textbox>
              </v:shape>
            </w:pict>
          </mc:Fallback>
        </mc:AlternateContent>
      </w:r>
    </w:p>
    <w:p>
      <w:pPr>
        <w:shd w:val="clear" w:color="auto" w:fill="FFFFFF"/>
        <w:autoSpaceDE w:val="0"/>
        <w:autoSpaceDN w:val="0"/>
        <w:adjustRightInd w:val="0"/>
        <w:ind w:firstLine="2388"/>
        <w:rPr>
          <w:rFonts w:ascii="宋体"/>
          <w:color w:val="000000"/>
          <w:sz w:val="28"/>
          <w:szCs w:val="28"/>
          <w:highlight w:val="none"/>
          <w:shd w:val="clear" w:color="auto" w:fill="auto"/>
          <w:lang w:val="zh-CN"/>
        </w:rPr>
      </w:pPr>
    </w:p>
    <w:p>
      <w:pPr>
        <w:shd w:val="clear" w:color="auto" w:fill="FFFFFF"/>
        <w:autoSpaceDE w:val="0"/>
        <w:autoSpaceDN w:val="0"/>
        <w:adjustRightInd w:val="0"/>
        <w:ind w:firstLine="2388"/>
        <w:rPr>
          <w:rFonts w:ascii="宋体"/>
          <w:color w:val="000000"/>
          <w:sz w:val="28"/>
          <w:szCs w:val="28"/>
          <w:highlight w:val="none"/>
          <w:shd w:val="clear" w:color="auto" w:fill="auto"/>
          <w:lang w:val="zh-CN"/>
        </w:rPr>
      </w:pPr>
    </w:p>
    <w:p>
      <w:pPr>
        <w:pStyle w:val="38"/>
        <w:numPr>
          <w:ilvl w:val="0"/>
          <w:numId w:val="0"/>
        </w:numPr>
        <w:tabs>
          <w:tab w:val="left" w:pos="1260"/>
        </w:tabs>
        <w:spacing w:line="360" w:lineRule="auto"/>
        <w:jc w:val="center"/>
        <w:rPr>
          <w:rFonts w:hint="eastAsia" w:ascii="黑体" w:hAnsi="宋体" w:eastAsia="黑体"/>
          <w:b/>
          <w:color w:val="auto"/>
          <w:kern w:val="2"/>
          <w:sz w:val="36"/>
          <w:szCs w:val="22"/>
          <w:highlight w:val="none"/>
          <w:lang w:val="zh-CN" w:eastAsia="zh-CN" w:bidi="ar-SA"/>
        </w:rPr>
      </w:pPr>
      <w:r>
        <w:rPr>
          <w:rFonts w:ascii="Arial" w:hAnsi="Arial" w:cs="Arial"/>
          <w:color w:val="000000"/>
          <w:kern w:val="0"/>
          <w:szCs w:val="21"/>
          <w:highlight w:val="none"/>
          <w:shd w:val="clear" w:color="auto" w:fill="auto"/>
          <w:lang w:val="zh-CN"/>
        </w:rPr>
        <w:br w:type="page"/>
      </w:r>
      <w:r>
        <w:rPr>
          <w:rFonts w:hint="eastAsia" w:ascii="黑体" w:hAnsi="宋体" w:eastAsia="黑体"/>
          <w:b/>
          <w:color w:val="auto"/>
          <w:kern w:val="2"/>
          <w:sz w:val="36"/>
          <w:szCs w:val="22"/>
          <w:highlight w:val="none"/>
          <w:lang w:val="zh-CN" w:eastAsia="zh-CN" w:bidi="ar-SA"/>
        </w:rPr>
        <w:t>投标人基本情况表</w:t>
      </w:r>
    </w:p>
    <w:tbl>
      <w:tblPr>
        <w:tblStyle w:val="60"/>
        <w:tblW w:w="92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899"/>
        <w:gridCol w:w="1896"/>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9" w:hRule="atLeast"/>
          <w:jc w:val="center"/>
        </w:trPr>
        <w:tc>
          <w:tcPr>
            <w:tcW w:w="175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企业注册名称</w:t>
            </w:r>
          </w:p>
        </w:tc>
        <w:tc>
          <w:tcPr>
            <w:tcW w:w="28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b/>
                <w:color w:val="auto"/>
                <w:kern w:val="0"/>
                <w:sz w:val="24"/>
                <w:szCs w:val="24"/>
                <w:highlight w:val="none"/>
                <w:lang w:bidi="he-IL"/>
              </w:rPr>
            </w:pPr>
          </w:p>
        </w:tc>
        <w:tc>
          <w:tcPr>
            <w:tcW w:w="18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成立日期</w:t>
            </w:r>
          </w:p>
        </w:tc>
        <w:tc>
          <w:tcPr>
            <w:tcW w:w="26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b/>
                <w:color w:val="auto"/>
                <w:kern w:val="0"/>
                <w:sz w:val="24"/>
                <w:szCs w:val="24"/>
                <w:highlight w:val="none"/>
                <w:lang w:bidi="he-I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5" w:hRule="atLeast"/>
          <w:jc w:val="center"/>
        </w:trPr>
        <w:tc>
          <w:tcPr>
            <w:tcW w:w="175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企业注册地址</w:t>
            </w:r>
          </w:p>
        </w:tc>
        <w:tc>
          <w:tcPr>
            <w:tcW w:w="28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b/>
                <w:color w:val="auto"/>
                <w:kern w:val="0"/>
                <w:sz w:val="24"/>
                <w:szCs w:val="24"/>
                <w:highlight w:val="none"/>
                <w:lang w:bidi="he-IL"/>
              </w:rPr>
            </w:pPr>
          </w:p>
        </w:tc>
        <w:tc>
          <w:tcPr>
            <w:tcW w:w="18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注册资金</w:t>
            </w:r>
          </w:p>
        </w:tc>
        <w:tc>
          <w:tcPr>
            <w:tcW w:w="26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b/>
                <w:color w:val="auto"/>
                <w:kern w:val="0"/>
                <w:sz w:val="24"/>
                <w:szCs w:val="24"/>
                <w:highlight w:val="none"/>
                <w:lang w:bidi="he-I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6" w:hRule="atLeast"/>
          <w:jc w:val="center"/>
        </w:trPr>
        <w:tc>
          <w:tcPr>
            <w:tcW w:w="175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企业法人代表</w:t>
            </w:r>
          </w:p>
        </w:tc>
        <w:tc>
          <w:tcPr>
            <w:tcW w:w="28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p>
        </w:tc>
        <w:tc>
          <w:tcPr>
            <w:tcW w:w="189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企业性质</w:t>
            </w:r>
          </w:p>
        </w:tc>
        <w:tc>
          <w:tcPr>
            <w:tcW w:w="266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left"/>
              <w:rPr>
                <w:rFonts w:hint="eastAsia" w:ascii="宋体" w:hAnsi="宋体" w:eastAsia="宋体" w:cs="宋体"/>
                <w:color w:val="auto"/>
                <w:kern w:val="0"/>
                <w:sz w:val="24"/>
                <w:szCs w:val="24"/>
                <w:highlight w:val="none"/>
                <w:lang w:bidi="he-I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8" w:hRule="atLeast"/>
          <w:jc w:val="center"/>
        </w:trPr>
        <w:tc>
          <w:tcPr>
            <w:tcW w:w="175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企业资质等级</w:t>
            </w:r>
          </w:p>
        </w:tc>
        <w:tc>
          <w:tcPr>
            <w:tcW w:w="28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left"/>
              <w:rPr>
                <w:rFonts w:hint="eastAsia" w:ascii="宋体" w:hAnsi="宋体" w:eastAsia="宋体" w:cs="宋体"/>
                <w:color w:val="auto"/>
                <w:kern w:val="0"/>
                <w:sz w:val="24"/>
                <w:szCs w:val="24"/>
                <w:highlight w:val="none"/>
                <w:lang w:bidi="he-IL"/>
              </w:rPr>
            </w:pPr>
          </w:p>
        </w:tc>
        <w:tc>
          <w:tcPr>
            <w:tcW w:w="18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经营方式</w:t>
            </w:r>
          </w:p>
        </w:tc>
        <w:tc>
          <w:tcPr>
            <w:tcW w:w="266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left"/>
              <w:rPr>
                <w:rFonts w:hint="eastAsia" w:ascii="宋体" w:hAnsi="宋体" w:eastAsia="宋体" w:cs="宋体"/>
                <w:color w:val="auto"/>
                <w:kern w:val="0"/>
                <w:sz w:val="24"/>
                <w:szCs w:val="24"/>
                <w:highlight w:val="none"/>
                <w:lang w:bidi="he-I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84" w:hRule="atLeast"/>
          <w:jc w:val="center"/>
        </w:trPr>
        <w:tc>
          <w:tcPr>
            <w:tcW w:w="175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员工总人数</w:t>
            </w:r>
          </w:p>
        </w:tc>
        <w:tc>
          <w:tcPr>
            <w:tcW w:w="289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left"/>
              <w:rPr>
                <w:rFonts w:hint="eastAsia" w:ascii="宋体" w:hAnsi="宋体" w:eastAsia="宋体" w:cs="宋体"/>
                <w:color w:val="auto"/>
                <w:kern w:val="0"/>
                <w:sz w:val="24"/>
                <w:szCs w:val="24"/>
                <w:highlight w:val="none"/>
                <w:lang w:bidi="he-IL"/>
              </w:rPr>
            </w:pPr>
          </w:p>
        </w:tc>
        <w:tc>
          <w:tcPr>
            <w:tcW w:w="189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办公地点</w:t>
            </w:r>
          </w:p>
        </w:tc>
        <w:tc>
          <w:tcPr>
            <w:tcW w:w="266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left"/>
              <w:rPr>
                <w:rFonts w:hint="eastAsia" w:ascii="宋体" w:hAnsi="宋体" w:eastAsia="宋体" w:cs="宋体"/>
                <w:color w:val="auto"/>
                <w:kern w:val="0"/>
                <w:sz w:val="24"/>
                <w:szCs w:val="24"/>
                <w:highlight w:val="none"/>
                <w:lang w:bidi="he-I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0" w:hRule="atLeast"/>
          <w:jc w:val="center"/>
        </w:trPr>
        <w:tc>
          <w:tcPr>
            <w:tcW w:w="1753"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lang w:bidi="he-IL"/>
              </w:rPr>
              <w:t>现经营项目</w:t>
            </w:r>
          </w:p>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lang w:bidi="he-IL"/>
              </w:rPr>
              <w:t>或服务单位</w:t>
            </w:r>
          </w:p>
        </w:tc>
        <w:tc>
          <w:tcPr>
            <w:tcW w:w="7457" w:type="dxa"/>
            <w:gridSpan w:val="3"/>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 xml:space="preserve"> </w:t>
            </w:r>
          </w:p>
          <w:p>
            <w:pPr>
              <w:keepNext w:val="0"/>
              <w:keepLines w:val="0"/>
              <w:suppressLineNumbers w:val="0"/>
              <w:spacing w:before="0" w:beforeAutospacing="0" w:after="0" w:afterAutospacing="0"/>
              <w:ind w:left="0" w:right="0"/>
              <w:jc w:val="left"/>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70" w:hRule="atLeast"/>
          <w:jc w:val="center"/>
        </w:trPr>
        <w:tc>
          <w:tcPr>
            <w:tcW w:w="175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center"/>
              <w:rPr>
                <w:rFonts w:hint="eastAsia" w:ascii="宋体" w:hAnsi="宋体" w:eastAsia="宋体" w:cs="宋体"/>
                <w:color w:val="auto"/>
                <w:kern w:val="0"/>
                <w:sz w:val="24"/>
                <w:szCs w:val="24"/>
                <w:highlight w:val="none"/>
                <w:lang w:bidi="he-IL"/>
              </w:rPr>
            </w:pPr>
            <w:r>
              <w:rPr>
                <w:rFonts w:hint="eastAsia" w:ascii="宋体" w:hAnsi="宋体" w:eastAsia="宋体" w:cs="宋体"/>
                <w:color w:val="auto"/>
                <w:kern w:val="0"/>
                <w:sz w:val="24"/>
                <w:szCs w:val="24"/>
                <w:highlight w:val="none"/>
              </w:rPr>
              <w:t>企业经营范围</w:t>
            </w:r>
          </w:p>
        </w:tc>
        <w:tc>
          <w:tcPr>
            <w:tcW w:w="745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600" w:lineRule="exact"/>
              <w:ind w:left="0" w:right="0"/>
              <w:jc w:val="left"/>
              <w:rPr>
                <w:rFonts w:hint="eastAsia" w:ascii="宋体" w:hAnsi="宋体" w:eastAsia="宋体" w:cs="宋体"/>
                <w:color w:val="auto"/>
                <w:kern w:val="0"/>
                <w:sz w:val="24"/>
                <w:szCs w:val="24"/>
                <w:highlight w:val="none"/>
                <w:lang w:bidi="he-IL"/>
              </w:rPr>
            </w:pPr>
          </w:p>
        </w:tc>
      </w:tr>
    </w:tbl>
    <w:p>
      <w:pPr>
        <w:pStyle w:val="38"/>
        <w:tabs>
          <w:tab w:val="left" w:pos="1260"/>
        </w:tabs>
        <w:spacing w:line="360" w:lineRule="auto"/>
        <w:ind w:left="0" w:leftChars="0" w:firstLine="0" w:firstLineChars="0"/>
        <w:rPr>
          <w:rFonts w:hint="eastAsia" w:ascii="宋体" w:hAnsi="宋体"/>
          <w:b/>
          <w:bCs/>
          <w:color w:val="auto"/>
          <w:sz w:val="24"/>
          <w:szCs w:val="24"/>
          <w:highlight w:val="none"/>
        </w:rPr>
      </w:pPr>
    </w:p>
    <w:p>
      <w:pPr>
        <w:pStyle w:val="38"/>
        <w:tabs>
          <w:tab w:val="left" w:pos="1260"/>
        </w:tabs>
        <w:spacing w:line="360" w:lineRule="auto"/>
        <w:ind w:left="0" w:leftChars="0" w:firstLine="0" w:firstLineChars="0"/>
        <w:rPr>
          <w:rFonts w:hint="eastAsia" w:ascii="宋体" w:hAnsi="宋体"/>
          <w:b/>
          <w:bCs/>
          <w:color w:val="auto"/>
          <w:sz w:val="24"/>
          <w:szCs w:val="24"/>
          <w:highlight w:val="none"/>
        </w:rPr>
      </w:pPr>
    </w:p>
    <w:p>
      <w:pPr>
        <w:pStyle w:val="38"/>
        <w:tabs>
          <w:tab w:val="left" w:pos="1260"/>
        </w:tabs>
        <w:spacing w:line="360" w:lineRule="auto"/>
        <w:ind w:left="0" w:leftChars="0" w:firstLine="0" w:firstLineChars="0"/>
        <w:rPr>
          <w:rFonts w:hint="eastAsia" w:ascii="宋体" w:hAnsi="宋体"/>
          <w:b/>
          <w:bCs/>
          <w:color w:val="auto"/>
          <w:sz w:val="24"/>
          <w:szCs w:val="24"/>
          <w:highlight w:val="none"/>
        </w:rPr>
      </w:pPr>
    </w:p>
    <w:p>
      <w:pPr>
        <w:adjustRightInd w:val="0"/>
        <w:snapToGrid w:val="0"/>
        <w:spacing w:line="360" w:lineRule="auto"/>
        <w:ind w:firstLine="3080" w:firstLineChars="1100"/>
        <w:rPr>
          <w:rFonts w:hint="eastAsia" w:ascii="宋体" w:hAnsi="宋体"/>
          <w:color w:val="auto"/>
          <w:sz w:val="28"/>
          <w:szCs w:val="28"/>
          <w:highlight w:val="none"/>
          <w:u w:val="single"/>
        </w:rPr>
      </w:pPr>
      <w:r>
        <w:rPr>
          <w:rFonts w:hint="eastAsia" w:ascii="宋体" w:hAnsi="宋体"/>
          <w:color w:val="auto"/>
          <w:sz w:val="28"/>
          <w:szCs w:val="28"/>
          <w:highlight w:val="none"/>
        </w:rPr>
        <w:t>投标人代表签字：</w:t>
      </w:r>
      <w:r>
        <w:rPr>
          <w:rFonts w:hint="eastAsia" w:ascii="宋体" w:hAnsi="宋体"/>
          <w:color w:val="auto"/>
          <w:sz w:val="28"/>
          <w:szCs w:val="28"/>
          <w:highlight w:val="none"/>
          <w:u w:val="single"/>
        </w:rPr>
        <w:t xml:space="preserve">                 </w:t>
      </w:r>
    </w:p>
    <w:p>
      <w:pPr>
        <w:adjustRightInd w:val="0"/>
        <w:snapToGrid w:val="0"/>
        <w:spacing w:line="360" w:lineRule="auto"/>
        <w:ind w:firstLine="560" w:firstLineChars="200"/>
        <w:rPr>
          <w:rFonts w:hint="eastAsia" w:ascii="宋体"/>
          <w:color w:val="auto"/>
          <w:sz w:val="28"/>
          <w:szCs w:val="28"/>
          <w:highlight w:val="none"/>
          <w:lang w:val="zh-CN"/>
        </w:rPr>
      </w:pPr>
    </w:p>
    <w:p>
      <w:pPr>
        <w:adjustRightInd w:val="0"/>
        <w:snapToGrid w:val="0"/>
        <w:spacing w:line="360" w:lineRule="auto"/>
        <w:ind w:firstLine="3080" w:firstLineChars="1100"/>
        <w:rPr>
          <w:rFonts w:hint="eastAsia" w:ascii="宋体" w:hAnsi="宋体"/>
          <w:color w:val="auto"/>
          <w:sz w:val="28"/>
          <w:szCs w:val="28"/>
          <w:highlight w:val="none"/>
        </w:rPr>
      </w:pPr>
      <w:r>
        <w:rPr>
          <w:rFonts w:hint="eastAsia" w:ascii="宋体"/>
          <w:color w:val="auto"/>
          <w:sz w:val="28"/>
          <w:szCs w:val="28"/>
          <w:highlight w:val="none"/>
          <w:lang w:val="zh-CN"/>
        </w:rPr>
        <w:t>投标单位</w:t>
      </w:r>
      <w:r>
        <w:rPr>
          <w:rFonts w:hint="eastAsia" w:ascii="宋体" w:hAnsi="宋体"/>
          <w:color w:val="auto"/>
          <w:sz w:val="28"/>
          <w:szCs w:val="28"/>
          <w:highlight w:val="none"/>
        </w:rPr>
        <w:t>（公章）</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年   月   日</w:t>
      </w:r>
    </w:p>
    <w:p>
      <w:pPr>
        <w:pStyle w:val="38"/>
        <w:tabs>
          <w:tab w:val="left" w:pos="1260"/>
        </w:tabs>
        <w:spacing w:line="360" w:lineRule="auto"/>
        <w:ind w:left="0" w:leftChars="0" w:firstLine="0" w:firstLineChars="0"/>
        <w:rPr>
          <w:rFonts w:hint="eastAsia" w:ascii="宋体" w:hAnsi="宋体"/>
          <w:b/>
          <w:bCs/>
          <w:color w:val="auto"/>
          <w:sz w:val="24"/>
          <w:szCs w:val="24"/>
          <w:highlight w:val="none"/>
        </w:rPr>
      </w:pPr>
    </w:p>
    <w:p>
      <w:pPr>
        <w:shd w:val="clear" w:color="auto" w:fill="FFFFFF"/>
        <w:tabs>
          <w:tab w:val="left" w:pos="432"/>
          <w:tab w:val="left" w:pos="576"/>
        </w:tabs>
        <w:autoSpaceDE w:val="0"/>
        <w:autoSpaceDN w:val="0"/>
        <w:adjustRightInd w:val="0"/>
        <w:spacing w:line="416" w:lineRule="atLeast"/>
        <w:ind w:left="432" w:hanging="432"/>
        <w:jc w:val="center"/>
        <w:rPr>
          <w:rFonts w:hint="eastAsia" w:ascii="黑体" w:hAnsi="Arial" w:eastAsia="黑体" w:cs="Arial"/>
          <w:b/>
          <w:bCs/>
          <w:color w:val="000000"/>
          <w:kern w:val="0"/>
          <w:sz w:val="36"/>
          <w:szCs w:val="36"/>
          <w:highlight w:val="none"/>
          <w:shd w:val="clear" w:color="auto" w:fill="auto"/>
          <w:lang w:val="zh-CN"/>
        </w:rPr>
      </w:pPr>
    </w:p>
    <w:p>
      <w:pPr>
        <w:shd w:val="clear" w:color="auto" w:fill="FFFFFF"/>
        <w:tabs>
          <w:tab w:val="left" w:pos="432"/>
          <w:tab w:val="left" w:pos="576"/>
        </w:tabs>
        <w:autoSpaceDE w:val="0"/>
        <w:autoSpaceDN w:val="0"/>
        <w:adjustRightInd w:val="0"/>
        <w:spacing w:line="416" w:lineRule="atLeast"/>
        <w:ind w:left="432" w:hanging="432"/>
        <w:jc w:val="center"/>
        <w:rPr>
          <w:rFonts w:ascii="Arial" w:hAnsi="Arial" w:eastAsia="黑体" w:cs="Arial"/>
          <w:b/>
          <w:bCs/>
          <w:color w:val="000000"/>
          <w:kern w:val="0"/>
          <w:sz w:val="36"/>
          <w:szCs w:val="36"/>
          <w:highlight w:val="none"/>
          <w:shd w:val="clear" w:color="auto" w:fill="auto"/>
          <w:lang w:val="zh-CN"/>
        </w:rPr>
      </w:pPr>
      <w:r>
        <w:rPr>
          <w:rFonts w:hint="eastAsia" w:ascii="黑体" w:hAnsi="Arial" w:eastAsia="黑体" w:cs="Arial"/>
          <w:b/>
          <w:bCs/>
          <w:color w:val="000000"/>
          <w:kern w:val="0"/>
          <w:sz w:val="36"/>
          <w:szCs w:val="36"/>
          <w:highlight w:val="none"/>
          <w:shd w:val="clear" w:color="auto" w:fill="auto"/>
          <w:lang w:val="zh-CN"/>
        </w:rPr>
        <w:t>资格声明</w:t>
      </w:r>
    </w:p>
    <w:p>
      <w:pPr>
        <w:shd w:val="clear" w:color="auto" w:fill="FFFFFF"/>
        <w:autoSpaceDE w:val="0"/>
        <w:autoSpaceDN w:val="0"/>
        <w:adjustRightInd w:val="0"/>
        <w:rPr>
          <w:rFonts w:eastAsia="黑体"/>
          <w:color w:val="000000"/>
          <w:szCs w:val="21"/>
          <w:highlight w:val="none"/>
          <w:shd w:val="clear" w:color="auto" w:fill="auto"/>
          <w:lang w:val="zh-CN"/>
        </w:rPr>
      </w:pPr>
    </w:p>
    <w:p>
      <w:pPr>
        <w:shd w:val="clear" w:color="auto" w:fill="FFFFFF"/>
        <w:tabs>
          <w:tab w:val="left" w:pos="425"/>
          <w:tab w:val="left" w:pos="938"/>
        </w:tabs>
        <w:autoSpaceDE w:val="0"/>
        <w:autoSpaceDN w:val="0"/>
        <w:adjustRightInd w:val="0"/>
        <w:spacing w:line="480" w:lineRule="exact"/>
        <w:ind w:firstLine="537" w:firstLineChars="192"/>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1、单位名称：</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2、单位地址：</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3、注册日期：</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4、性</w:t>
      </w: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质：</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5、主管部门：</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6、员工人数：</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rPr>
          <w:rFonts w:hint="eastAsia"/>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其中：技术人员：</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ind w:firstLine="1260" w:firstLineChars="450"/>
        <w:rPr>
          <w:color w:val="000000"/>
          <w:sz w:val="28"/>
          <w:szCs w:val="28"/>
          <w:highlight w:val="none"/>
          <w:u w:val="single"/>
          <w:shd w:val="clear" w:color="auto" w:fill="auto"/>
          <w:lang w:val="zh-CN"/>
        </w:rPr>
      </w:pPr>
      <w:r>
        <w:rPr>
          <w:rFonts w:hint="eastAsia" w:ascii="宋体"/>
          <w:color w:val="000000"/>
          <w:sz w:val="28"/>
          <w:szCs w:val="28"/>
          <w:highlight w:val="none"/>
          <w:shd w:val="clear" w:color="auto" w:fill="auto"/>
          <w:lang w:val="zh-CN"/>
        </w:rPr>
        <w:t>售后服务人员：</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7、近期资产负债情况：</w:t>
      </w:r>
    </w:p>
    <w:p>
      <w:pPr>
        <w:shd w:val="clear" w:color="auto" w:fill="FFFFFF"/>
        <w:autoSpaceDE w:val="0"/>
        <w:autoSpaceDN w:val="0"/>
        <w:adjustRightInd w:val="0"/>
        <w:spacing w:line="480" w:lineRule="exact"/>
        <w:rPr>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固定资产原值：</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rPr>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固定资产净值：</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rPr>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流动资产：</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rPr>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长期负债：</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rPr>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流动负债：</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rPr>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所有者权益：</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rPr>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债务合计：</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autoSpaceDE w:val="0"/>
        <w:autoSpaceDN w:val="0"/>
        <w:adjustRightInd w:val="0"/>
        <w:spacing w:line="480" w:lineRule="exact"/>
        <w:rPr>
          <w:color w:val="000000"/>
          <w:sz w:val="28"/>
          <w:szCs w:val="28"/>
          <w:highlight w:val="none"/>
          <w:u w:val="single"/>
          <w:shd w:val="clear" w:color="auto" w:fill="auto"/>
          <w:lang w:val="zh-CN"/>
        </w:rPr>
      </w:pPr>
      <w:r>
        <w:rPr>
          <w:color w:val="000000"/>
          <w:sz w:val="28"/>
          <w:szCs w:val="28"/>
          <w:highlight w:val="none"/>
          <w:shd w:val="clear" w:color="auto" w:fill="auto"/>
          <w:lang w:val="zh-CN"/>
        </w:rPr>
        <w:t xml:space="preserve">          </w:t>
      </w:r>
      <w:r>
        <w:rPr>
          <w:rFonts w:hint="eastAsia" w:ascii="宋体"/>
          <w:color w:val="000000"/>
          <w:sz w:val="28"/>
          <w:szCs w:val="28"/>
          <w:highlight w:val="none"/>
          <w:shd w:val="clear" w:color="auto" w:fill="auto"/>
          <w:lang w:val="zh-CN"/>
        </w:rPr>
        <w:t>债权合计：</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8、销售此种设备的起始时间：</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9、销售能力：</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p>
    <w:p>
      <w:pPr>
        <w:shd w:val="clear" w:color="auto" w:fill="FFFFFF"/>
        <w:tabs>
          <w:tab w:val="left" w:pos="425"/>
          <w:tab w:val="left" w:pos="900"/>
        </w:tabs>
        <w:autoSpaceDE w:val="0"/>
        <w:autoSpaceDN w:val="0"/>
        <w:adjustRightInd w:val="0"/>
        <w:spacing w:line="480" w:lineRule="exact"/>
        <w:ind w:firstLine="560" w:firstLineChars="200"/>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10、其他情况：</w:t>
      </w:r>
      <w:r>
        <w:rPr>
          <w:color w:val="000000"/>
          <w:sz w:val="28"/>
          <w:szCs w:val="28"/>
          <w:highlight w:val="none"/>
          <w:u w:val="single"/>
          <w:shd w:val="clear" w:color="auto" w:fill="auto"/>
          <w:lang w:val="zh-CN"/>
        </w:rPr>
        <w:t xml:space="preserve">            </w:t>
      </w:r>
      <w:r>
        <w:rPr>
          <w:rFonts w:hint="eastAsia"/>
          <w:color w:val="000000"/>
          <w:sz w:val="28"/>
          <w:szCs w:val="28"/>
          <w:highlight w:val="none"/>
          <w:u w:val="single"/>
          <w:shd w:val="clear" w:color="auto" w:fill="auto"/>
          <w:lang w:val="zh-CN"/>
        </w:rPr>
        <w:t xml:space="preserve">            </w:t>
      </w:r>
      <w:r>
        <w:rPr>
          <w:color w:val="000000"/>
          <w:sz w:val="28"/>
          <w:szCs w:val="28"/>
          <w:highlight w:val="none"/>
          <w:u w:val="single"/>
          <w:shd w:val="clear" w:color="auto" w:fill="auto"/>
          <w:lang w:val="zh-CN"/>
        </w:rPr>
        <w:t xml:space="preserve">        </w:t>
      </w:r>
      <w:r>
        <w:rPr>
          <w:color w:val="000000"/>
          <w:sz w:val="28"/>
          <w:szCs w:val="28"/>
          <w:highlight w:val="none"/>
          <w:shd w:val="clear" w:color="auto" w:fill="auto"/>
          <w:lang w:val="zh-CN"/>
        </w:rPr>
        <w:t xml:space="preserve">    </w:t>
      </w:r>
    </w:p>
    <w:p>
      <w:pPr>
        <w:shd w:val="clear" w:color="auto" w:fill="FFFFFF"/>
        <w:autoSpaceDE w:val="0"/>
        <w:autoSpaceDN w:val="0"/>
        <w:adjustRightInd w:val="0"/>
        <w:spacing w:line="480" w:lineRule="exact"/>
        <w:ind w:firstLine="3843"/>
        <w:rPr>
          <w:color w:val="000000"/>
          <w:sz w:val="28"/>
          <w:szCs w:val="28"/>
          <w:highlight w:val="none"/>
          <w:shd w:val="clear" w:color="auto" w:fill="auto"/>
          <w:lang w:val="zh-CN"/>
        </w:rPr>
      </w:pPr>
    </w:p>
    <w:p>
      <w:pPr>
        <w:shd w:val="clear" w:color="auto" w:fill="FFFFFF"/>
        <w:autoSpaceDE w:val="0"/>
        <w:autoSpaceDN w:val="0"/>
        <w:adjustRightInd w:val="0"/>
        <w:spacing w:line="480" w:lineRule="exact"/>
        <w:ind w:firstLine="3843"/>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投标单位（公章）：</w:t>
      </w:r>
    </w:p>
    <w:p>
      <w:pPr>
        <w:shd w:val="clear" w:color="auto" w:fill="FFFFFF"/>
        <w:autoSpaceDE w:val="0"/>
        <w:autoSpaceDN w:val="0"/>
        <w:adjustRightInd w:val="0"/>
        <w:spacing w:line="480" w:lineRule="exact"/>
        <w:ind w:firstLine="3843"/>
        <w:rPr>
          <w:color w:val="000000"/>
          <w:sz w:val="28"/>
          <w:szCs w:val="28"/>
          <w:highlight w:val="none"/>
          <w:shd w:val="clear" w:color="auto" w:fill="auto"/>
          <w:lang w:val="zh-CN"/>
        </w:rPr>
      </w:pPr>
      <w:r>
        <w:rPr>
          <w:rFonts w:hint="eastAsia" w:ascii="宋体"/>
          <w:color w:val="000000"/>
          <w:sz w:val="28"/>
          <w:szCs w:val="28"/>
          <w:highlight w:val="none"/>
          <w:shd w:val="clear" w:color="auto" w:fill="auto"/>
          <w:lang w:val="zh-CN"/>
        </w:rPr>
        <w:t>被授权代表签字：</w:t>
      </w:r>
    </w:p>
    <w:p>
      <w:pPr>
        <w:shd w:val="clear" w:color="auto" w:fill="FFFFFF"/>
        <w:autoSpaceDE w:val="0"/>
        <w:autoSpaceDN w:val="0"/>
        <w:adjustRightInd w:val="0"/>
        <w:spacing w:line="480" w:lineRule="exact"/>
        <w:ind w:firstLine="4480" w:firstLineChars="1600"/>
        <w:rPr>
          <w:rFonts w:hint="eastAsia" w:ascii="宋体"/>
          <w:color w:val="000000"/>
          <w:kern w:val="0"/>
          <w:sz w:val="28"/>
          <w:szCs w:val="28"/>
          <w:highlight w:val="none"/>
          <w:shd w:val="clear" w:color="auto" w:fill="auto"/>
          <w:lang w:val="zh-CN"/>
        </w:rPr>
      </w:pPr>
      <w:r>
        <w:rPr>
          <w:rFonts w:hint="eastAsia" w:ascii="宋体"/>
          <w:color w:val="000000"/>
          <w:kern w:val="0"/>
          <w:sz w:val="28"/>
          <w:szCs w:val="28"/>
          <w:highlight w:val="none"/>
          <w:shd w:val="clear" w:color="auto" w:fill="auto"/>
          <w:lang w:val="zh-CN"/>
        </w:rPr>
        <w:t>年</w:t>
      </w:r>
      <w:r>
        <w:rPr>
          <w:color w:val="000000"/>
          <w:kern w:val="0"/>
          <w:sz w:val="28"/>
          <w:szCs w:val="28"/>
          <w:highlight w:val="none"/>
          <w:shd w:val="clear" w:color="auto" w:fill="auto"/>
          <w:lang w:val="zh-CN"/>
        </w:rPr>
        <w:t xml:space="preserve">   </w:t>
      </w:r>
      <w:r>
        <w:rPr>
          <w:rFonts w:hint="eastAsia"/>
          <w:color w:val="000000"/>
          <w:kern w:val="0"/>
          <w:sz w:val="28"/>
          <w:szCs w:val="28"/>
          <w:highlight w:val="none"/>
          <w:shd w:val="clear" w:color="auto" w:fill="auto"/>
          <w:lang w:val="zh-CN"/>
        </w:rPr>
        <w:t xml:space="preserve"> </w:t>
      </w:r>
      <w:r>
        <w:rPr>
          <w:rFonts w:hint="eastAsia" w:ascii="宋体"/>
          <w:color w:val="000000"/>
          <w:kern w:val="0"/>
          <w:sz w:val="28"/>
          <w:szCs w:val="28"/>
          <w:highlight w:val="none"/>
          <w:shd w:val="clear" w:color="auto" w:fill="auto"/>
          <w:lang w:val="zh-CN"/>
        </w:rPr>
        <w:t>月</w:t>
      </w:r>
      <w:r>
        <w:rPr>
          <w:color w:val="000000"/>
          <w:kern w:val="0"/>
          <w:sz w:val="28"/>
          <w:szCs w:val="28"/>
          <w:highlight w:val="none"/>
          <w:shd w:val="clear" w:color="auto" w:fill="auto"/>
          <w:lang w:val="zh-CN"/>
        </w:rPr>
        <w:t xml:space="preserve">  </w:t>
      </w:r>
      <w:r>
        <w:rPr>
          <w:rFonts w:hint="eastAsia"/>
          <w:color w:val="000000"/>
          <w:kern w:val="0"/>
          <w:sz w:val="28"/>
          <w:szCs w:val="28"/>
          <w:highlight w:val="none"/>
          <w:shd w:val="clear" w:color="auto" w:fill="auto"/>
          <w:lang w:val="zh-CN"/>
        </w:rPr>
        <w:t xml:space="preserve">  </w:t>
      </w:r>
      <w:r>
        <w:rPr>
          <w:color w:val="000000"/>
          <w:kern w:val="0"/>
          <w:sz w:val="28"/>
          <w:szCs w:val="28"/>
          <w:highlight w:val="none"/>
          <w:shd w:val="clear" w:color="auto" w:fill="auto"/>
          <w:lang w:val="zh-CN"/>
        </w:rPr>
        <w:t xml:space="preserve"> </w:t>
      </w:r>
      <w:r>
        <w:rPr>
          <w:rFonts w:hint="eastAsia" w:ascii="宋体"/>
          <w:color w:val="000000"/>
          <w:kern w:val="0"/>
          <w:sz w:val="28"/>
          <w:szCs w:val="28"/>
          <w:highlight w:val="none"/>
          <w:shd w:val="clear" w:color="auto" w:fill="auto"/>
          <w:lang w:val="zh-CN"/>
        </w:rPr>
        <w:t>日</w:t>
      </w:r>
    </w:p>
    <w:p>
      <w:pPr>
        <w:pStyle w:val="63"/>
        <w:rPr>
          <w:lang w:val="zh-CN"/>
        </w:rPr>
      </w:pPr>
    </w:p>
    <w:p>
      <w:pPr>
        <w:pStyle w:val="65"/>
        <w:rPr>
          <w:lang w:val="zh-CN"/>
        </w:rPr>
      </w:pPr>
    </w:p>
    <w:p>
      <w:pPr>
        <w:rPr>
          <w:lang w:val="zh-CN"/>
        </w:rPr>
      </w:pPr>
    </w:p>
    <w:p>
      <w:pPr>
        <w:shd w:val="clear" w:color="auto" w:fill="FFFFFF"/>
        <w:autoSpaceDE w:val="0"/>
        <w:autoSpaceDN w:val="0"/>
        <w:adjustRightInd w:val="0"/>
        <w:jc w:val="center"/>
        <w:rPr>
          <w:rFonts w:ascii="Arial" w:hAnsi="Arial" w:eastAsia="黑体" w:cs="Arial"/>
          <w:b/>
          <w:bCs/>
          <w:color w:val="auto"/>
          <w:kern w:val="0"/>
          <w:sz w:val="36"/>
          <w:szCs w:val="36"/>
          <w:highlight w:val="none"/>
          <w:lang w:val="zh-CN"/>
        </w:rPr>
      </w:pPr>
    </w:p>
    <w:p>
      <w:pPr>
        <w:shd w:val="clear" w:color="auto" w:fill="FFFFFF"/>
        <w:autoSpaceDE w:val="0"/>
        <w:autoSpaceDN w:val="0"/>
        <w:adjustRightInd w:val="0"/>
        <w:jc w:val="center"/>
        <w:rPr>
          <w:rFonts w:eastAsia="黑体"/>
          <w:color w:val="auto"/>
          <w:szCs w:val="21"/>
          <w:highlight w:val="none"/>
          <w:lang w:val="zh-CN"/>
        </w:rPr>
      </w:pPr>
      <w:r>
        <w:rPr>
          <w:rFonts w:hint="eastAsia" w:ascii="Arial" w:hAnsi="Arial" w:eastAsia="黑体" w:cs="Arial"/>
          <w:b/>
          <w:bCs/>
          <w:color w:val="auto"/>
          <w:kern w:val="0"/>
          <w:sz w:val="36"/>
          <w:szCs w:val="36"/>
          <w:highlight w:val="none"/>
          <w:lang w:val="zh-CN"/>
        </w:rPr>
        <w:t>投标保证金转账凭证</w:t>
      </w:r>
    </w:p>
    <w:p>
      <w:pPr>
        <w:shd w:val="clear" w:color="auto" w:fill="FFFFFF"/>
        <w:autoSpaceDE w:val="0"/>
        <w:autoSpaceDN w:val="0"/>
        <w:adjustRightInd w:val="0"/>
        <w:spacing w:line="480" w:lineRule="exact"/>
        <w:jc w:val="center"/>
        <w:rPr>
          <w:rFonts w:ascii="宋体"/>
          <w:color w:val="auto"/>
          <w:kern w:val="0"/>
          <w:sz w:val="28"/>
          <w:szCs w:val="28"/>
          <w:highlight w:val="none"/>
          <w:lang w:val="zh-CN"/>
        </w:rPr>
      </w:pPr>
    </w:p>
    <w:p>
      <w:pPr>
        <w:shd w:val="clear" w:color="auto" w:fill="FFFFFF"/>
        <w:autoSpaceDE w:val="0"/>
        <w:autoSpaceDN w:val="0"/>
        <w:adjustRightInd w:val="0"/>
        <w:spacing w:line="480" w:lineRule="exact"/>
        <w:jc w:val="center"/>
        <w:rPr>
          <w:rFonts w:ascii="宋体"/>
          <w:color w:val="auto"/>
          <w:kern w:val="0"/>
          <w:sz w:val="28"/>
          <w:szCs w:val="28"/>
          <w:highlight w:val="none"/>
          <w:lang w:val="zh-CN"/>
        </w:rPr>
      </w:pPr>
    </w:p>
    <w:p>
      <w:pPr>
        <w:shd w:val="clear" w:color="auto" w:fill="FFFFFF"/>
        <w:autoSpaceDE w:val="0"/>
        <w:autoSpaceDN w:val="0"/>
        <w:adjustRightInd w:val="0"/>
        <w:spacing w:line="480" w:lineRule="exact"/>
        <w:jc w:val="center"/>
        <w:rPr>
          <w:rFonts w:hint="eastAsia" w:ascii="宋体"/>
          <w:color w:val="auto"/>
          <w:kern w:val="0"/>
          <w:sz w:val="28"/>
          <w:szCs w:val="28"/>
          <w:highlight w:val="none"/>
          <w:lang w:val="zh-CN"/>
        </w:rPr>
      </w:pPr>
      <w:r>
        <w:rPr>
          <w:rFonts w:hint="eastAsia" w:ascii="宋体"/>
          <w:color w:val="auto"/>
          <w:kern w:val="0"/>
          <w:sz w:val="28"/>
          <w:szCs w:val="28"/>
          <w:highlight w:val="none"/>
          <w:lang w:val="zh-CN"/>
        </w:rPr>
        <w:t>附投标保证金截图凭证</w:t>
      </w:r>
    </w:p>
    <w:p>
      <w:pPr>
        <w:jc w:val="center"/>
        <w:rPr>
          <w:rFonts w:hint="eastAsia" w:ascii="黑体" w:hAnsi="宋体" w:eastAsia="黑体" w:cs="Times New Roman"/>
          <w:b/>
          <w:color w:val="auto"/>
          <w:kern w:val="2"/>
          <w:sz w:val="36"/>
          <w:szCs w:val="22"/>
          <w:highlight w:val="none"/>
          <w:lang w:val="zh-CN" w:eastAsia="zh-CN" w:bidi="ar-SA"/>
        </w:rPr>
      </w:pPr>
      <w:r>
        <w:rPr>
          <w:rFonts w:ascii="宋体" w:hAnsi="Arial" w:cs="Arial"/>
          <w:color w:val="auto"/>
          <w:kern w:val="0"/>
          <w:sz w:val="24"/>
          <w:highlight w:val="none"/>
          <w:lang w:val="zh-CN"/>
        </w:rPr>
        <w:br w:type="page"/>
      </w:r>
    </w:p>
    <w:p>
      <w:pPr>
        <w:pStyle w:val="63"/>
        <w:ind w:left="0" w:leftChars="0" w:firstLine="0" w:firstLineChars="0"/>
        <w:rPr>
          <w:lang w:val="zh-CN"/>
        </w:rPr>
      </w:pPr>
    </w:p>
    <w:p>
      <w:pPr>
        <w:pageBreakBefore w:val="0"/>
        <w:shd w:val="clear" w:color="auto" w:fill="FFFFFF"/>
        <w:tabs>
          <w:tab w:val="left" w:pos="2340"/>
        </w:tabs>
        <w:kinsoku/>
        <w:wordWrap/>
        <w:overflowPunct/>
        <w:topLinePunct w:val="0"/>
        <w:bidi w:val="0"/>
        <w:spacing w:line="240" w:lineRule="auto"/>
        <w:jc w:val="center"/>
        <w:rPr>
          <w:rFonts w:hint="eastAsia" w:eastAsia="黑体"/>
          <w:b/>
          <w:color w:val="000000"/>
          <w:sz w:val="36"/>
          <w:highlight w:val="none"/>
          <w:shd w:val="clear" w:color="auto" w:fill="auto"/>
        </w:rPr>
      </w:pPr>
      <w:r>
        <w:rPr>
          <w:rFonts w:hint="eastAsia" w:eastAsia="黑体"/>
          <w:b/>
          <w:color w:val="000000"/>
          <w:sz w:val="36"/>
          <w:highlight w:val="none"/>
          <w:shd w:val="clear" w:color="auto" w:fill="auto"/>
        </w:rPr>
        <w:t>技术规范偏离表</w:t>
      </w:r>
    </w:p>
    <w:tbl>
      <w:tblPr>
        <w:tblStyle w:val="60"/>
        <w:tblW w:w="921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770"/>
        <w:gridCol w:w="1766"/>
        <w:gridCol w:w="1080"/>
        <w:gridCol w:w="2040"/>
        <w:gridCol w:w="2192"/>
        <w:gridCol w:w="13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288" w:hRule="atLeast"/>
          <w:jc w:val="center"/>
        </w:trPr>
        <w:tc>
          <w:tcPr>
            <w:tcW w:w="770"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序号</w:t>
            </w:r>
          </w:p>
        </w:tc>
        <w:tc>
          <w:tcPr>
            <w:tcW w:w="1766"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设备名称</w:t>
            </w:r>
          </w:p>
        </w:tc>
        <w:tc>
          <w:tcPr>
            <w:tcW w:w="1080"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数</w:t>
            </w:r>
            <w:r>
              <w:rPr>
                <w:rFonts w:hint="default"/>
                <w:color w:val="000000"/>
                <w:sz w:val="24"/>
                <w:szCs w:val="20"/>
                <w:highlight w:val="none"/>
                <w:shd w:val="clear" w:color="auto" w:fill="auto"/>
              </w:rPr>
              <w:t xml:space="preserve">  </w:t>
            </w:r>
            <w:r>
              <w:rPr>
                <w:rFonts w:hint="eastAsia" w:ascii="宋体"/>
                <w:color w:val="000000"/>
                <w:sz w:val="24"/>
                <w:szCs w:val="20"/>
                <w:highlight w:val="none"/>
                <w:shd w:val="clear" w:color="auto" w:fill="auto"/>
              </w:rPr>
              <w:t>量</w:t>
            </w:r>
          </w:p>
        </w:tc>
        <w:tc>
          <w:tcPr>
            <w:tcW w:w="2040"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招标文件技术要求</w:t>
            </w:r>
          </w:p>
        </w:tc>
        <w:tc>
          <w:tcPr>
            <w:tcW w:w="2192"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投标文件对应反映</w:t>
            </w:r>
          </w:p>
        </w:tc>
        <w:tc>
          <w:tcPr>
            <w:tcW w:w="1362"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备</w:t>
            </w:r>
            <w:r>
              <w:rPr>
                <w:rFonts w:hint="default"/>
                <w:color w:val="000000"/>
                <w:sz w:val="24"/>
                <w:szCs w:val="20"/>
                <w:highlight w:val="none"/>
                <w:shd w:val="clear" w:color="auto" w:fill="auto"/>
              </w:rPr>
              <w:t xml:space="preserve">  </w:t>
            </w:r>
            <w:r>
              <w:rPr>
                <w:rFonts w:hint="eastAsia" w:ascii="宋体"/>
                <w:color w:val="000000"/>
                <w:sz w:val="24"/>
                <w:szCs w:val="20"/>
                <w:highlight w:val="none"/>
                <w:shd w:val="clear" w:color="auto" w:fill="auto"/>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77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76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77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76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77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76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77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76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77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76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77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76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77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76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28" w:hRule="atLeast"/>
          <w:jc w:val="center"/>
        </w:trPr>
        <w:tc>
          <w:tcPr>
            <w:tcW w:w="77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76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bl>
    <w:p>
      <w:pPr>
        <w:pageBreakBefore w:val="0"/>
        <w:shd w:val="clear" w:color="auto" w:fill="FFFFFF"/>
        <w:kinsoku/>
        <w:wordWrap/>
        <w:overflowPunct/>
        <w:topLinePunct w:val="0"/>
        <w:bidi w:val="0"/>
        <w:spacing w:line="240" w:lineRule="auto"/>
        <w:ind w:firstLine="560" w:firstLineChars="200"/>
        <w:jc w:val="left"/>
        <w:rPr>
          <w:rFonts w:hint="eastAsia"/>
          <w:color w:val="000000"/>
          <w:sz w:val="28"/>
          <w:highlight w:val="none"/>
          <w:shd w:val="clear" w:color="auto" w:fill="auto"/>
        </w:rPr>
      </w:pPr>
    </w:p>
    <w:p>
      <w:pPr>
        <w:pageBreakBefore w:val="0"/>
        <w:shd w:val="clear" w:color="auto" w:fill="FFFFFF"/>
        <w:kinsoku/>
        <w:wordWrap/>
        <w:overflowPunct/>
        <w:topLinePunct w:val="0"/>
        <w:bidi w:val="0"/>
        <w:spacing w:line="240" w:lineRule="auto"/>
        <w:ind w:firstLine="560" w:firstLineChars="200"/>
        <w:jc w:val="left"/>
        <w:rPr>
          <w:rFonts w:hint="eastAsia"/>
          <w:color w:val="000000"/>
          <w:sz w:val="28"/>
          <w:highlight w:val="none"/>
          <w:shd w:val="clear" w:color="auto" w:fill="auto"/>
        </w:rPr>
      </w:pPr>
    </w:p>
    <w:p>
      <w:pPr>
        <w:pageBreakBefore w:val="0"/>
        <w:shd w:val="clear" w:color="auto" w:fill="FFFFFF"/>
        <w:kinsoku/>
        <w:wordWrap/>
        <w:overflowPunct/>
        <w:topLinePunct w:val="0"/>
        <w:bidi w:val="0"/>
        <w:spacing w:line="240" w:lineRule="auto"/>
        <w:jc w:val="center"/>
        <w:rPr>
          <w:rFonts w:hint="eastAsia" w:eastAsia="黑体"/>
          <w:b/>
          <w:color w:val="000000"/>
          <w:sz w:val="36"/>
          <w:highlight w:val="none"/>
          <w:shd w:val="clear" w:color="auto" w:fill="auto"/>
        </w:rPr>
      </w:pPr>
      <w:r>
        <w:rPr>
          <w:rFonts w:hint="eastAsia" w:eastAsia="黑体"/>
          <w:b/>
          <w:color w:val="000000"/>
          <w:sz w:val="36"/>
          <w:highlight w:val="none"/>
          <w:shd w:val="clear" w:color="auto" w:fill="auto"/>
        </w:rPr>
        <w:t>商务条款偏离表</w:t>
      </w:r>
    </w:p>
    <w:tbl>
      <w:tblPr>
        <w:tblStyle w:val="60"/>
        <w:tblW w:w="921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676"/>
        <w:gridCol w:w="1860"/>
        <w:gridCol w:w="1080"/>
        <w:gridCol w:w="2040"/>
        <w:gridCol w:w="2192"/>
        <w:gridCol w:w="13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288" w:hRule="atLeast"/>
          <w:jc w:val="center"/>
        </w:trPr>
        <w:tc>
          <w:tcPr>
            <w:tcW w:w="676"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序号</w:t>
            </w:r>
          </w:p>
        </w:tc>
        <w:tc>
          <w:tcPr>
            <w:tcW w:w="1860"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设备名称</w:t>
            </w:r>
          </w:p>
        </w:tc>
        <w:tc>
          <w:tcPr>
            <w:tcW w:w="1080"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数</w:t>
            </w:r>
            <w:r>
              <w:rPr>
                <w:rFonts w:hint="default"/>
                <w:color w:val="000000"/>
                <w:sz w:val="24"/>
                <w:szCs w:val="20"/>
                <w:highlight w:val="none"/>
                <w:shd w:val="clear" w:color="auto" w:fill="auto"/>
              </w:rPr>
              <w:t xml:space="preserve">  </w:t>
            </w:r>
            <w:r>
              <w:rPr>
                <w:rFonts w:hint="eastAsia" w:ascii="宋体"/>
                <w:color w:val="000000"/>
                <w:sz w:val="24"/>
                <w:szCs w:val="20"/>
                <w:highlight w:val="none"/>
                <w:shd w:val="clear" w:color="auto" w:fill="auto"/>
              </w:rPr>
              <w:t>量</w:t>
            </w:r>
          </w:p>
        </w:tc>
        <w:tc>
          <w:tcPr>
            <w:tcW w:w="2040"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招标文件商务要求</w:t>
            </w:r>
          </w:p>
        </w:tc>
        <w:tc>
          <w:tcPr>
            <w:tcW w:w="2192"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投标文件对应反映</w:t>
            </w:r>
          </w:p>
        </w:tc>
        <w:tc>
          <w:tcPr>
            <w:tcW w:w="1362" w:type="dxa"/>
            <w:vAlign w:val="center"/>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r>
              <w:rPr>
                <w:rFonts w:hint="eastAsia" w:ascii="宋体"/>
                <w:color w:val="000000"/>
                <w:sz w:val="24"/>
                <w:szCs w:val="20"/>
                <w:highlight w:val="none"/>
                <w:shd w:val="clear" w:color="auto" w:fill="auto"/>
              </w:rPr>
              <w:t>备</w:t>
            </w:r>
            <w:r>
              <w:rPr>
                <w:rFonts w:hint="default"/>
                <w:color w:val="000000"/>
                <w:sz w:val="24"/>
                <w:szCs w:val="20"/>
                <w:highlight w:val="none"/>
                <w:shd w:val="clear" w:color="auto" w:fill="auto"/>
              </w:rPr>
              <w:t xml:space="preserve">  </w:t>
            </w:r>
            <w:r>
              <w:rPr>
                <w:rFonts w:hint="eastAsia" w:ascii="宋体"/>
                <w:color w:val="000000"/>
                <w:sz w:val="24"/>
                <w:szCs w:val="20"/>
                <w:highlight w:val="none"/>
                <w:shd w:val="clear" w:color="auto" w:fill="auto"/>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67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86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67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86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67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86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67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86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67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86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67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86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67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86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544" w:hRule="atLeast"/>
          <w:jc w:val="center"/>
        </w:trPr>
        <w:tc>
          <w:tcPr>
            <w:tcW w:w="676"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86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08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040"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219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c>
          <w:tcPr>
            <w:tcW w:w="1362" w:type="dxa"/>
            <w:vAlign w:val="top"/>
          </w:tcPr>
          <w:p>
            <w:pPr>
              <w:keepNext w:val="0"/>
              <w:keepLines w:val="0"/>
              <w:pageBreakBefore w:val="0"/>
              <w:widowControl w:val="0"/>
              <w:suppressLineNumbers w:val="0"/>
              <w:shd w:val="clear" w:color="auto" w:fill="FFFFFF"/>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left"/>
              <w:textAlignment w:val="auto"/>
              <w:rPr>
                <w:rFonts w:hint="default" w:ascii="宋体"/>
                <w:color w:val="000000"/>
                <w:sz w:val="24"/>
                <w:szCs w:val="20"/>
                <w:highlight w:val="none"/>
                <w:shd w:val="clear" w:color="auto" w:fill="auto"/>
              </w:rPr>
            </w:pPr>
          </w:p>
        </w:tc>
      </w:tr>
    </w:tbl>
    <w:p>
      <w:pPr>
        <w:pageBreakBefore w:val="0"/>
        <w:shd w:val="clear" w:color="auto" w:fill="FFFFFF"/>
        <w:tabs>
          <w:tab w:val="left" w:pos="1290"/>
        </w:tabs>
        <w:kinsoku/>
        <w:wordWrap/>
        <w:overflowPunct/>
        <w:topLinePunct w:val="0"/>
        <w:autoSpaceDE w:val="0"/>
        <w:autoSpaceDN w:val="0"/>
        <w:bidi w:val="0"/>
        <w:adjustRightInd w:val="0"/>
        <w:spacing w:line="240" w:lineRule="auto"/>
        <w:ind w:firstLine="723" w:firstLineChars="200"/>
        <w:jc w:val="left"/>
        <w:rPr>
          <w:rFonts w:hint="eastAsia" w:ascii="黑体" w:eastAsia="黑体"/>
          <w:b/>
          <w:bCs/>
          <w:color w:val="000000"/>
          <w:sz w:val="36"/>
          <w:szCs w:val="28"/>
          <w:highlight w:val="none"/>
          <w:shd w:val="clear" w:color="auto" w:fill="auto"/>
          <w:lang w:val="zh-CN"/>
        </w:rPr>
      </w:pPr>
    </w:p>
    <w:p>
      <w:pPr>
        <w:pageBreakBefore w:val="0"/>
        <w:shd w:val="clear" w:color="auto" w:fill="FFFFFF"/>
        <w:tabs>
          <w:tab w:val="left" w:pos="1290"/>
        </w:tabs>
        <w:kinsoku/>
        <w:wordWrap/>
        <w:overflowPunct/>
        <w:topLinePunct w:val="0"/>
        <w:autoSpaceDE w:val="0"/>
        <w:autoSpaceDN w:val="0"/>
        <w:bidi w:val="0"/>
        <w:adjustRightInd w:val="0"/>
        <w:spacing w:line="240" w:lineRule="auto"/>
        <w:jc w:val="left"/>
        <w:rPr>
          <w:rFonts w:hint="eastAsia" w:ascii="黑体" w:eastAsia="黑体"/>
          <w:b/>
          <w:bCs/>
          <w:color w:val="000000"/>
          <w:sz w:val="36"/>
          <w:szCs w:val="28"/>
          <w:highlight w:val="none"/>
          <w:shd w:val="clear" w:color="auto" w:fill="auto"/>
          <w:lang w:val="zh-CN"/>
        </w:rPr>
      </w:pPr>
    </w:p>
    <w:p>
      <w:pPr>
        <w:pStyle w:val="65"/>
        <w:ind w:left="0" w:leftChars="0" w:firstLine="0" w:firstLineChars="0"/>
        <w:rPr>
          <w:lang w:val="zh-CN"/>
        </w:rPr>
        <w:sectPr>
          <w:headerReference r:id="rId22" w:type="first"/>
          <w:footerReference r:id="rId24" w:type="first"/>
          <w:headerReference r:id="rId21" w:type="default"/>
          <w:footerReference r:id="rId23" w:type="default"/>
          <w:pgSz w:w="12240" w:h="15840"/>
          <w:pgMar w:top="1417" w:right="1191" w:bottom="1417" w:left="1361" w:header="851" w:footer="1134" w:gutter="0"/>
          <w:cols w:space="720" w:num="1"/>
          <w:titlePg/>
          <w:rtlGutter w:val="0"/>
          <w:docGrid w:linePitch="0" w:charSpace="0"/>
        </w:sectPr>
      </w:pPr>
    </w:p>
    <w:p>
      <w:pPr>
        <w:pStyle w:val="38"/>
        <w:tabs>
          <w:tab w:val="left" w:pos="1260"/>
        </w:tabs>
        <w:spacing w:line="360" w:lineRule="auto"/>
        <w:ind w:left="0" w:leftChars="0" w:firstLine="0" w:firstLineChars="0"/>
        <w:rPr>
          <w:rFonts w:hint="eastAsia" w:ascii="宋体" w:hAnsi="宋体"/>
          <w:b/>
          <w:bCs/>
          <w:color w:val="auto"/>
          <w:sz w:val="24"/>
          <w:szCs w:val="24"/>
          <w:highlight w:val="none"/>
        </w:rPr>
      </w:pPr>
    </w:p>
    <w:p>
      <w:pPr>
        <w:pStyle w:val="3"/>
        <w:numPr>
          <w:ilvl w:val="1"/>
          <w:numId w:val="0"/>
        </w:numPr>
        <w:tabs>
          <w:tab w:val="clear" w:pos="567"/>
        </w:tabs>
        <w:snapToGrid w:val="0"/>
        <w:spacing w:before="0" w:after="0" w:line="360" w:lineRule="auto"/>
        <w:ind w:leftChars="0"/>
        <w:jc w:val="center"/>
        <w:rPr>
          <w:rFonts w:hint="eastAsia" w:ascii="黑体" w:hAnsi="宋体" w:eastAsia="黑体"/>
          <w:b/>
          <w:color w:val="auto"/>
          <w:kern w:val="2"/>
          <w:sz w:val="36"/>
          <w:szCs w:val="22"/>
          <w:highlight w:val="none"/>
          <w:lang w:val="zh-CN" w:eastAsia="zh-CN" w:bidi="ar-SA"/>
        </w:rPr>
      </w:pPr>
      <w:r>
        <w:rPr>
          <w:rFonts w:hint="eastAsia" w:ascii="黑体" w:hAnsi="宋体" w:eastAsia="黑体"/>
          <w:b/>
          <w:color w:val="auto"/>
          <w:kern w:val="2"/>
          <w:sz w:val="36"/>
          <w:szCs w:val="22"/>
          <w:highlight w:val="none"/>
          <w:lang w:val="zh-CN" w:eastAsia="zh-CN" w:bidi="ar-SA"/>
        </w:rPr>
        <w:t>项目报价表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宋体" w:hAnsi="宋体"/>
          <w:color w:val="auto"/>
          <w:sz w:val="28"/>
          <w:szCs w:val="28"/>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宋体" w:hAnsi="宋体"/>
          <w:color w:val="auto"/>
          <w:sz w:val="28"/>
          <w:szCs w:val="28"/>
          <w:highlight w:val="none"/>
          <w:lang w:val="en-US" w:eastAsia="zh-CN"/>
        </w:rPr>
      </w:pPr>
      <w:r>
        <w:rPr>
          <w:rFonts w:hint="eastAsia" w:ascii="宋体" w:hAnsi="宋体"/>
          <w:color w:val="auto"/>
          <w:sz w:val="28"/>
          <w:szCs w:val="28"/>
          <w:highlight w:val="none"/>
          <w:lang w:eastAsia="zh-CN"/>
        </w:rPr>
        <w:t>投标单位：</w:t>
      </w:r>
      <w:r>
        <w:rPr>
          <w:rFonts w:hint="eastAsia" w:ascii="宋体" w:hAnsi="宋体"/>
          <w:color w:val="auto"/>
          <w:sz w:val="28"/>
          <w:szCs w:val="28"/>
          <w:highlight w:val="none"/>
          <w:lang w:val="en-US" w:eastAsia="zh-CN"/>
        </w:rPr>
        <w:t xml:space="preserve">                                </w:t>
      </w:r>
    </w:p>
    <w:tbl>
      <w:tblPr>
        <w:tblStyle w:val="61"/>
        <w:tblpPr w:leftFromText="180" w:rightFromText="180" w:vertAnchor="text" w:horzAnchor="page" w:tblpXSpec="center" w:tblpY="452"/>
        <w:tblOverlap w:val="never"/>
        <w:tblW w:w="10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628"/>
        <w:gridCol w:w="1125"/>
        <w:gridCol w:w="1245"/>
        <w:gridCol w:w="1785"/>
        <w:gridCol w:w="2250"/>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jc w:val="center"/>
        </w:trPr>
        <w:tc>
          <w:tcPr>
            <w:tcW w:w="84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sz w:val="24"/>
                <w:szCs w:val="20"/>
                <w:highlight w:val="none"/>
                <w:vertAlign w:val="baseline"/>
                <w:lang w:eastAsia="zh-CN"/>
              </w:rPr>
            </w:pPr>
            <w:r>
              <w:rPr>
                <w:rFonts w:hint="eastAsia" w:ascii="宋体" w:hAnsi="宋体" w:eastAsia="宋体" w:cs="宋体"/>
                <w:b/>
                <w:i w:val="0"/>
                <w:color w:val="auto"/>
                <w:kern w:val="0"/>
                <w:sz w:val="24"/>
                <w:szCs w:val="24"/>
                <w:highlight w:val="none"/>
                <w:u w:val="none"/>
                <w:lang w:val="en-US" w:eastAsia="zh-CN" w:bidi="ar"/>
              </w:rPr>
              <w:t>序号</w:t>
            </w:r>
          </w:p>
        </w:tc>
        <w:tc>
          <w:tcPr>
            <w:tcW w:w="162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sz w:val="24"/>
                <w:szCs w:val="20"/>
                <w:highlight w:val="none"/>
                <w:vertAlign w:val="baseline"/>
                <w:lang w:eastAsia="zh-CN"/>
              </w:rPr>
            </w:pPr>
            <w:r>
              <w:rPr>
                <w:rFonts w:hint="eastAsia" w:ascii="宋体" w:hAnsi="宋体" w:eastAsia="宋体" w:cs="宋体"/>
                <w:b/>
                <w:i w:val="0"/>
                <w:color w:val="auto"/>
                <w:kern w:val="0"/>
                <w:sz w:val="24"/>
                <w:szCs w:val="24"/>
                <w:highlight w:val="none"/>
                <w:u w:val="none"/>
                <w:lang w:val="en-US" w:eastAsia="zh-CN" w:bidi="ar"/>
              </w:rPr>
              <w:t>货品名称</w:t>
            </w:r>
          </w:p>
        </w:tc>
        <w:tc>
          <w:tcPr>
            <w:tcW w:w="112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sz w:val="24"/>
                <w:szCs w:val="20"/>
                <w:highlight w:val="none"/>
                <w:vertAlign w:val="baseline"/>
                <w:lang w:eastAsia="zh-CN"/>
              </w:rPr>
            </w:pPr>
            <w:r>
              <w:rPr>
                <w:rFonts w:hint="eastAsia" w:ascii="宋体" w:hAnsi="宋体" w:eastAsia="宋体" w:cs="宋体"/>
                <w:b/>
                <w:i w:val="0"/>
                <w:color w:val="auto"/>
                <w:kern w:val="0"/>
                <w:sz w:val="24"/>
                <w:szCs w:val="24"/>
                <w:highlight w:val="none"/>
                <w:u w:val="none"/>
                <w:lang w:val="en-US" w:eastAsia="zh-CN" w:bidi="ar"/>
              </w:rPr>
              <w:t>规格</w:t>
            </w:r>
          </w:p>
        </w:tc>
        <w:tc>
          <w:tcPr>
            <w:tcW w:w="124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sz w:val="24"/>
                <w:szCs w:val="20"/>
                <w:highlight w:val="none"/>
                <w:vertAlign w:val="baseline"/>
                <w:lang w:eastAsia="zh-CN"/>
              </w:rPr>
            </w:pPr>
            <w:r>
              <w:rPr>
                <w:rFonts w:hint="eastAsia" w:ascii="宋体" w:hAnsi="宋体" w:eastAsia="宋体" w:cs="宋体"/>
                <w:b/>
                <w:i w:val="0"/>
                <w:color w:val="auto"/>
                <w:kern w:val="0"/>
                <w:sz w:val="24"/>
                <w:szCs w:val="24"/>
                <w:highlight w:val="none"/>
                <w:u w:val="none"/>
                <w:lang w:val="en-US" w:eastAsia="zh-CN" w:bidi="ar"/>
              </w:rPr>
              <w:t>数量（</w:t>
            </w:r>
            <w:r>
              <w:rPr>
                <w:rFonts w:hint="eastAsia" w:ascii="宋体" w:hAnsi="宋体" w:cs="宋体"/>
                <w:b/>
                <w:i w:val="0"/>
                <w:color w:val="auto"/>
                <w:kern w:val="0"/>
                <w:sz w:val="24"/>
                <w:szCs w:val="24"/>
                <w:highlight w:val="none"/>
                <w:u w:val="none"/>
                <w:lang w:val="en-US" w:eastAsia="zh-CN" w:bidi="ar"/>
              </w:rPr>
              <w:t>台</w:t>
            </w:r>
            <w:r>
              <w:rPr>
                <w:rFonts w:hint="eastAsia" w:ascii="宋体" w:hAnsi="宋体" w:eastAsia="宋体" w:cs="宋体"/>
                <w:b/>
                <w:i w:val="0"/>
                <w:color w:val="auto"/>
                <w:kern w:val="0"/>
                <w:sz w:val="24"/>
                <w:szCs w:val="24"/>
                <w:highlight w:val="none"/>
                <w:u w:val="none"/>
                <w:lang w:val="en-US" w:eastAsia="zh-CN" w:bidi="ar"/>
              </w:rPr>
              <w:t>）</w:t>
            </w:r>
          </w:p>
        </w:tc>
        <w:tc>
          <w:tcPr>
            <w:tcW w:w="178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auto"/>
                <w:sz w:val="24"/>
                <w:szCs w:val="20"/>
                <w:highlight w:val="none"/>
                <w:vertAlign w:val="baseline"/>
                <w:lang w:eastAsia="zh-CN"/>
              </w:rPr>
            </w:pPr>
            <w:r>
              <w:rPr>
                <w:rFonts w:hint="eastAsia" w:ascii="宋体" w:hAnsi="宋体" w:eastAsia="宋体" w:cs="宋体"/>
                <w:b/>
                <w:i w:val="0"/>
                <w:color w:val="auto"/>
                <w:kern w:val="0"/>
                <w:sz w:val="24"/>
                <w:szCs w:val="24"/>
                <w:highlight w:val="none"/>
                <w:u w:val="none"/>
                <w:lang w:val="en-US" w:eastAsia="zh-CN" w:bidi="ar"/>
              </w:rPr>
              <w:t>含税单价（元）</w:t>
            </w:r>
          </w:p>
        </w:tc>
        <w:tc>
          <w:tcPr>
            <w:tcW w:w="2250"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sz w:val="24"/>
                <w:szCs w:val="20"/>
                <w:highlight w:val="none"/>
                <w:vertAlign w:val="baseline"/>
                <w:lang w:val="en-US" w:eastAsia="zh-CN"/>
              </w:rPr>
            </w:pPr>
            <w:r>
              <w:rPr>
                <w:rFonts w:hint="eastAsia" w:ascii="宋体" w:hAnsi="宋体" w:eastAsia="宋体" w:cs="宋体"/>
                <w:b/>
                <w:i w:val="0"/>
                <w:color w:val="auto"/>
                <w:kern w:val="0"/>
                <w:sz w:val="24"/>
                <w:szCs w:val="24"/>
                <w:highlight w:val="none"/>
                <w:u w:val="none"/>
                <w:lang w:val="en-US" w:eastAsia="zh-CN" w:bidi="ar"/>
              </w:rPr>
              <w:t>含税费用合计（元）</w:t>
            </w:r>
          </w:p>
        </w:tc>
        <w:tc>
          <w:tcPr>
            <w:tcW w:w="1396"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4"/>
                <w:szCs w:val="20"/>
                <w:highlight w:val="none"/>
                <w:vertAlign w:val="baseline"/>
                <w:lang w:eastAsia="zh-CN"/>
              </w:rPr>
            </w:pPr>
            <w:r>
              <w:rPr>
                <w:rFonts w:hint="eastAsia" w:ascii="宋体" w:hAnsi="宋体" w:eastAsia="宋体" w:cs="宋体"/>
                <w:b/>
                <w:i w:val="0"/>
                <w:color w:val="auto"/>
                <w:kern w:val="0"/>
                <w:sz w:val="24"/>
                <w:szCs w:val="24"/>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jc w:val="center"/>
        </w:trPr>
        <w:tc>
          <w:tcPr>
            <w:tcW w:w="84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0"/>
                <w:highlight w:val="none"/>
                <w:vertAlign w:val="baseline"/>
                <w:lang w:val="en-US" w:eastAsia="zh-CN"/>
              </w:rPr>
            </w:pPr>
            <w:r>
              <w:rPr>
                <w:rFonts w:hint="eastAsia" w:ascii="宋体" w:hAnsi="宋体" w:eastAsia="宋体" w:cs="宋体"/>
                <w:i w:val="0"/>
                <w:color w:val="auto"/>
                <w:kern w:val="0"/>
                <w:sz w:val="24"/>
                <w:szCs w:val="24"/>
                <w:highlight w:val="none"/>
                <w:u w:val="none"/>
                <w:lang w:val="en-US" w:eastAsia="zh-CN" w:bidi="ar"/>
              </w:rPr>
              <w:t>1</w:t>
            </w:r>
          </w:p>
        </w:tc>
        <w:tc>
          <w:tcPr>
            <w:tcW w:w="1628"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0"/>
                <w:highlight w:val="none"/>
                <w:vertAlign w:val="baseline"/>
                <w:lang w:val="en-US" w:eastAsia="zh-CN"/>
              </w:rPr>
            </w:pPr>
          </w:p>
        </w:tc>
        <w:tc>
          <w:tcPr>
            <w:tcW w:w="1125"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0"/>
                <w:highlight w:val="none"/>
                <w:vertAlign w:val="baseline"/>
                <w:lang w:val="en-US" w:eastAsia="zh-CN"/>
              </w:rPr>
            </w:pPr>
          </w:p>
        </w:tc>
        <w:tc>
          <w:tcPr>
            <w:tcW w:w="1245"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0"/>
                <w:highlight w:val="none"/>
                <w:vertAlign w:val="baseline"/>
                <w:lang w:val="en-US" w:eastAsia="zh-CN"/>
              </w:rPr>
            </w:pPr>
          </w:p>
        </w:tc>
        <w:tc>
          <w:tcPr>
            <w:tcW w:w="17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0"/>
                <w:highlight w:val="none"/>
                <w:vertAlign w:val="baseline"/>
              </w:rPr>
            </w:pPr>
          </w:p>
        </w:tc>
        <w:tc>
          <w:tcPr>
            <w:tcW w:w="225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0"/>
                <w:highlight w:val="none"/>
                <w:vertAlign w:val="baseline"/>
              </w:rPr>
            </w:pPr>
          </w:p>
        </w:tc>
        <w:tc>
          <w:tcPr>
            <w:tcW w:w="139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jc w:val="center"/>
        </w:trPr>
        <w:tc>
          <w:tcPr>
            <w:tcW w:w="849"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4"/>
                <w:szCs w:val="20"/>
                <w:highlight w:val="none"/>
                <w:vertAlign w:val="baseline"/>
                <w:lang w:val="en-US" w:eastAsia="zh-CN"/>
              </w:rPr>
            </w:pPr>
            <w:r>
              <w:rPr>
                <w:rFonts w:hint="eastAsia" w:ascii="宋体" w:hAnsi="宋体" w:eastAsia="宋体" w:cs="宋体"/>
                <w:i w:val="0"/>
                <w:color w:val="auto"/>
                <w:kern w:val="0"/>
                <w:sz w:val="24"/>
                <w:szCs w:val="24"/>
                <w:highlight w:val="none"/>
                <w:u w:val="none"/>
                <w:lang w:val="en-US" w:eastAsia="zh-CN" w:bidi="ar"/>
              </w:rPr>
              <w:t>2</w:t>
            </w:r>
          </w:p>
        </w:tc>
        <w:tc>
          <w:tcPr>
            <w:tcW w:w="1628"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0"/>
                <w:highlight w:val="none"/>
                <w:vertAlign w:val="baseline"/>
                <w:lang w:val="en-US" w:eastAsia="zh-CN"/>
              </w:rPr>
            </w:pPr>
          </w:p>
        </w:tc>
        <w:tc>
          <w:tcPr>
            <w:tcW w:w="1125"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0"/>
                <w:highlight w:val="none"/>
                <w:vertAlign w:val="baseline"/>
                <w:lang w:val="en-US" w:eastAsia="zh-CN"/>
              </w:rPr>
            </w:pPr>
          </w:p>
        </w:tc>
        <w:tc>
          <w:tcPr>
            <w:tcW w:w="1245" w:type="dxa"/>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0"/>
                <w:highlight w:val="none"/>
                <w:vertAlign w:val="baseline"/>
                <w:lang w:val="en-US" w:eastAsia="zh-CN"/>
              </w:rPr>
            </w:pPr>
          </w:p>
        </w:tc>
        <w:tc>
          <w:tcPr>
            <w:tcW w:w="178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0"/>
                <w:highlight w:val="none"/>
                <w:vertAlign w:val="baseline"/>
              </w:rPr>
            </w:pPr>
          </w:p>
        </w:tc>
        <w:tc>
          <w:tcPr>
            <w:tcW w:w="225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0"/>
                <w:highlight w:val="none"/>
                <w:vertAlign w:val="baseline"/>
              </w:rPr>
            </w:pPr>
          </w:p>
        </w:tc>
        <w:tc>
          <w:tcPr>
            <w:tcW w:w="1396"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jc w:val="center"/>
        </w:trPr>
        <w:tc>
          <w:tcPr>
            <w:tcW w:w="6632" w:type="dxa"/>
            <w:gridSpan w:val="5"/>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 w:val="24"/>
                <w:szCs w:val="20"/>
                <w:highlight w:val="none"/>
                <w:vertAlign w:val="baseline"/>
                <w:lang w:val="en-US"/>
              </w:rPr>
            </w:pPr>
            <w:r>
              <w:rPr>
                <w:rFonts w:hint="eastAsia" w:ascii="宋体" w:hAnsi="宋体" w:eastAsia="宋体" w:cs="宋体"/>
                <w:i w:val="0"/>
                <w:color w:val="auto"/>
                <w:kern w:val="0"/>
                <w:sz w:val="24"/>
                <w:szCs w:val="24"/>
                <w:highlight w:val="none"/>
                <w:u w:val="none"/>
                <w:lang w:val="en-US" w:eastAsia="zh-CN" w:bidi="ar"/>
              </w:rPr>
              <w:t>合计</w:t>
            </w:r>
            <w:r>
              <w:rPr>
                <w:rFonts w:hint="eastAsia" w:ascii="宋体" w:hAnsi="宋体" w:cs="宋体"/>
                <w:i w:val="0"/>
                <w:color w:val="auto"/>
                <w:kern w:val="0"/>
                <w:sz w:val="24"/>
                <w:szCs w:val="24"/>
                <w:highlight w:val="none"/>
                <w:u w:val="none"/>
                <w:lang w:val="en-US" w:eastAsia="zh-CN" w:bidi="ar"/>
              </w:rPr>
              <w:t>（税率　　%）</w:t>
            </w:r>
          </w:p>
        </w:tc>
        <w:tc>
          <w:tcPr>
            <w:tcW w:w="225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4"/>
                <w:szCs w:val="20"/>
                <w:highlight w:val="none"/>
                <w:vertAlign w:val="baseline"/>
              </w:rPr>
            </w:pPr>
          </w:p>
        </w:tc>
        <w:tc>
          <w:tcPr>
            <w:tcW w:w="1396" w:type="dxa"/>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jc w:val="center"/>
        </w:trPr>
        <w:tc>
          <w:tcPr>
            <w:tcW w:w="10278" w:type="dxa"/>
            <w:gridSpan w:val="7"/>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0"/>
                <w:highlight w:val="none"/>
                <w:vertAlign w:val="baseline"/>
              </w:rPr>
            </w:pPr>
            <w:r>
              <w:rPr>
                <w:rFonts w:hint="eastAsia" w:ascii="宋体" w:hAnsi="宋体" w:eastAsia="宋体" w:cs="Times New Roman"/>
                <w:color w:val="auto"/>
                <w:sz w:val="28"/>
                <w:szCs w:val="20"/>
                <w:highlight w:val="none"/>
                <w:lang w:val="en-US" w:eastAsia="zh-CN"/>
              </w:rPr>
              <w:t>含</w:t>
            </w:r>
            <w:r>
              <w:rPr>
                <w:rFonts w:hint="eastAsia" w:ascii="宋体" w:hAnsi="宋体" w:eastAsia="宋体" w:cs="Times New Roman"/>
                <w:color w:val="auto"/>
                <w:sz w:val="28"/>
                <w:szCs w:val="20"/>
                <w:highlight w:val="none"/>
              </w:rPr>
              <w:t>交货期、质保期、付款条件及方式</w:t>
            </w:r>
            <w:r>
              <w:rPr>
                <w:rFonts w:hint="eastAsia" w:ascii="宋体" w:hAnsi="宋体" w:eastAsia="宋体" w:cs="Times New Roman"/>
                <w:color w:val="auto"/>
                <w:sz w:val="28"/>
                <w:szCs w:val="20"/>
                <w:highlight w:val="none"/>
                <w:lang w:eastAsia="zh-CN"/>
              </w:rPr>
              <w:t>：（</w:t>
            </w:r>
            <w:r>
              <w:rPr>
                <w:rFonts w:hint="eastAsia" w:ascii="宋体" w:hAnsi="宋体" w:eastAsia="宋体" w:cs="Times New Roman"/>
                <w:color w:val="auto"/>
                <w:sz w:val="28"/>
                <w:szCs w:val="20"/>
                <w:highlight w:val="none"/>
                <w:lang w:val="en-US" w:eastAsia="zh-CN"/>
              </w:rPr>
              <w:t>可为响应采购文件要求</w:t>
            </w:r>
            <w:r>
              <w:rPr>
                <w:rFonts w:hint="eastAsia" w:ascii="宋体" w:hAnsi="宋体" w:eastAsia="宋体" w:cs="Times New Roman"/>
                <w:color w:val="auto"/>
                <w:sz w:val="28"/>
                <w:szCs w:val="20"/>
                <w:highlight w:val="none"/>
                <w:lang w:eastAsia="zh-CN"/>
              </w:rPr>
              <w:t>）</w:t>
            </w:r>
          </w:p>
        </w:tc>
      </w:tr>
    </w:tbl>
    <w:p>
      <w:pPr>
        <w:pStyle w:val="38"/>
        <w:tabs>
          <w:tab w:val="left" w:pos="1260"/>
        </w:tabs>
        <w:spacing w:line="360" w:lineRule="auto"/>
        <w:ind w:left="0" w:leftChars="0" w:firstLine="0" w:firstLineChars="0"/>
        <w:rPr>
          <w:rFonts w:hint="eastAsia" w:ascii="宋体" w:hAnsi="宋体"/>
          <w:b/>
          <w:bCs/>
          <w:color w:val="auto"/>
          <w:sz w:val="24"/>
          <w:szCs w:val="24"/>
          <w:highlight w:val="none"/>
        </w:rPr>
      </w:pPr>
    </w:p>
    <w:p>
      <w:pPr>
        <w:adjustRightInd w:val="0"/>
        <w:snapToGrid w:val="0"/>
        <w:spacing w:line="360" w:lineRule="auto"/>
        <w:jc w:val="center"/>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 xml:space="preserve">      </w:t>
      </w:r>
    </w:p>
    <w:p>
      <w:pPr>
        <w:adjustRightInd w:val="0"/>
        <w:snapToGrid w:val="0"/>
        <w:spacing w:line="360" w:lineRule="auto"/>
        <w:jc w:val="center"/>
        <w:rPr>
          <w:rFonts w:hint="eastAsia" w:ascii="宋体" w:hAnsi="宋体"/>
          <w:color w:val="auto"/>
          <w:sz w:val="28"/>
          <w:szCs w:val="28"/>
          <w:highlight w:val="none"/>
          <w:lang w:val="en-US" w:eastAsia="zh-CN"/>
        </w:rPr>
      </w:pPr>
    </w:p>
    <w:p>
      <w:pPr>
        <w:adjustRightInd w:val="0"/>
        <w:snapToGrid w:val="0"/>
        <w:spacing w:line="360" w:lineRule="auto"/>
        <w:ind w:left="0" w:leftChars="0" w:firstLine="2718" w:firstLineChars="971"/>
        <w:jc w:val="both"/>
        <w:rPr>
          <w:rFonts w:hint="eastAsia" w:ascii="宋体" w:hAnsi="宋体"/>
          <w:color w:val="auto"/>
          <w:sz w:val="28"/>
          <w:szCs w:val="28"/>
          <w:highlight w:val="none"/>
          <w:u w:val="single"/>
        </w:rPr>
      </w:pP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投标人代表签字：</w:t>
      </w:r>
      <w:r>
        <w:rPr>
          <w:rFonts w:hint="eastAsia" w:ascii="宋体" w:hAnsi="宋体"/>
          <w:color w:val="auto"/>
          <w:sz w:val="28"/>
          <w:szCs w:val="28"/>
          <w:highlight w:val="none"/>
          <w:u w:val="single"/>
        </w:rPr>
        <w:t xml:space="preserve">               </w:t>
      </w:r>
    </w:p>
    <w:p>
      <w:pPr>
        <w:adjustRightInd w:val="0"/>
        <w:snapToGrid w:val="0"/>
        <w:spacing w:line="360" w:lineRule="auto"/>
        <w:ind w:firstLine="2520" w:firstLineChars="900"/>
        <w:rPr>
          <w:rFonts w:hint="eastAsia" w:ascii="宋体" w:hAnsi="宋体"/>
          <w:color w:val="auto"/>
          <w:sz w:val="28"/>
          <w:szCs w:val="28"/>
          <w:highlight w:val="none"/>
        </w:rPr>
      </w:pPr>
    </w:p>
    <w:p>
      <w:pPr>
        <w:adjustRightInd w:val="0"/>
        <w:snapToGrid w:val="0"/>
        <w:spacing w:line="360" w:lineRule="auto"/>
        <w:ind w:firstLine="2800" w:firstLineChars="1000"/>
        <w:rPr>
          <w:rFonts w:hint="eastAsia" w:ascii="宋体" w:hAnsi="宋体"/>
          <w:b/>
          <w:bCs/>
          <w:color w:val="auto"/>
          <w:sz w:val="24"/>
          <w:szCs w:val="24"/>
          <w:highlight w:val="none"/>
        </w:rPr>
      </w:pPr>
      <w:r>
        <w:rPr>
          <w:rFonts w:hint="eastAsia" w:ascii="宋体"/>
          <w:color w:val="auto"/>
          <w:sz w:val="28"/>
          <w:szCs w:val="28"/>
          <w:highlight w:val="none"/>
          <w:lang w:val="zh-CN"/>
        </w:rPr>
        <w:t>投标单位</w:t>
      </w:r>
      <w:r>
        <w:rPr>
          <w:rFonts w:hint="eastAsia" w:ascii="宋体" w:hAnsi="宋体"/>
          <w:color w:val="auto"/>
          <w:sz w:val="28"/>
          <w:szCs w:val="28"/>
          <w:highlight w:val="none"/>
        </w:rPr>
        <w:t>（公章）              年   月   日</w:t>
      </w:r>
    </w:p>
    <w:p>
      <w:pPr>
        <w:pStyle w:val="38"/>
        <w:tabs>
          <w:tab w:val="left" w:pos="1260"/>
        </w:tabs>
        <w:spacing w:line="360" w:lineRule="auto"/>
        <w:ind w:left="0" w:leftChars="0" w:firstLine="0" w:firstLineChars="0"/>
        <w:jc w:val="center"/>
        <w:rPr>
          <w:rFonts w:hint="eastAsia" w:ascii="黑体" w:hAnsi="宋体" w:eastAsia="黑体"/>
          <w:b/>
          <w:color w:val="auto"/>
          <w:kern w:val="2"/>
          <w:sz w:val="36"/>
          <w:szCs w:val="22"/>
          <w:highlight w:val="none"/>
          <w:lang w:val="zh-CN" w:eastAsia="zh-CN" w:bidi="ar-SA"/>
        </w:rPr>
      </w:pPr>
    </w:p>
    <w:p>
      <w:pPr>
        <w:pStyle w:val="38"/>
        <w:tabs>
          <w:tab w:val="left" w:pos="1260"/>
        </w:tabs>
        <w:spacing w:line="360" w:lineRule="auto"/>
        <w:ind w:left="0" w:leftChars="0" w:firstLine="0" w:firstLineChars="0"/>
        <w:jc w:val="center"/>
        <w:rPr>
          <w:rFonts w:hint="eastAsia" w:ascii="黑体" w:hAnsi="宋体" w:eastAsia="黑体"/>
          <w:b/>
          <w:color w:val="auto"/>
          <w:kern w:val="2"/>
          <w:sz w:val="36"/>
          <w:szCs w:val="22"/>
          <w:highlight w:val="none"/>
          <w:lang w:val="zh-CN" w:eastAsia="zh-CN" w:bidi="ar-SA"/>
        </w:rPr>
      </w:pPr>
    </w:p>
    <w:p>
      <w:pPr>
        <w:pStyle w:val="38"/>
        <w:tabs>
          <w:tab w:val="left" w:pos="1260"/>
        </w:tabs>
        <w:spacing w:line="360" w:lineRule="auto"/>
        <w:ind w:left="0" w:leftChars="0" w:firstLine="0" w:firstLineChars="0"/>
        <w:jc w:val="center"/>
        <w:rPr>
          <w:rFonts w:hint="eastAsia" w:ascii="黑体" w:hAnsi="宋体" w:eastAsia="黑体"/>
          <w:b/>
          <w:color w:val="auto"/>
          <w:kern w:val="2"/>
          <w:sz w:val="36"/>
          <w:szCs w:val="22"/>
          <w:highlight w:val="none"/>
          <w:lang w:val="zh-CN" w:eastAsia="zh-CN" w:bidi="ar-SA"/>
        </w:rPr>
      </w:pPr>
    </w:p>
    <w:p>
      <w:pPr>
        <w:pStyle w:val="38"/>
        <w:tabs>
          <w:tab w:val="left" w:pos="1260"/>
        </w:tabs>
        <w:spacing w:line="360" w:lineRule="auto"/>
        <w:ind w:left="0" w:leftChars="0" w:firstLine="0" w:firstLineChars="0"/>
        <w:jc w:val="center"/>
        <w:rPr>
          <w:rFonts w:hint="eastAsia" w:ascii="黑体" w:hAnsi="宋体" w:eastAsia="黑体"/>
          <w:b/>
          <w:color w:val="auto"/>
          <w:kern w:val="2"/>
          <w:sz w:val="36"/>
          <w:szCs w:val="22"/>
          <w:highlight w:val="none"/>
          <w:lang w:val="zh-CN" w:eastAsia="zh-CN" w:bidi="ar-SA"/>
        </w:rPr>
      </w:pPr>
    </w:p>
    <w:p>
      <w:pPr>
        <w:pStyle w:val="38"/>
        <w:tabs>
          <w:tab w:val="left" w:pos="1260"/>
        </w:tabs>
        <w:spacing w:line="360" w:lineRule="auto"/>
        <w:ind w:left="0" w:leftChars="0" w:firstLine="0" w:firstLineChars="0"/>
        <w:rPr>
          <w:rFonts w:hint="eastAsia" w:ascii="宋体" w:hAnsi="宋体"/>
          <w:b/>
          <w:bCs/>
          <w:color w:val="auto"/>
          <w:sz w:val="24"/>
          <w:szCs w:val="24"/>
          <w:highlight w:val="none"/>
        </w:rPr>
      </w:pPr>
    </w:p>
    <w:p>
      <w:pPr>
        <w:pStyle w:val="38"/>
        <w:tabs>
          <w:tab w:val="left" w:pos="1260"/>
        </w:tabs>
        <w:spacing w:line="360" w:lineRule="auto"/>
        <w:ind w:left="0" w:leftChars="0" w:firstLine="0" w:firstLineChars="0"/>
        <w:rPr>
          <w:rFonts w:hint="eastAsia" w:ascii="宋体" w:hAnsi="宋体"/>
          <w:b/>
          <w:bCs/>
          <w:color w:val="auto"/>
          <w:sz w:val="24"/>
          <w:szCs w:val="24"/>
          <w:highlight w:val="none"/>
        </w:rPr>
      </w:pPr>
    </w:p>
    <w:p>
      <w:pPr>
        <w:shd w:val="clear" w:color="auto" w:fill="FFFFFF"/>
        <w:autoSpaceDE w:val="0"/>
        <w:autoSpaceDN w:val="0"/>
        <w:adjustRightInd w:val="0"/>
        <w:jc w:val="center"/>
        <w:rPr>
          <w:rFonts w:eastAsia="黑体"/>
          <w:color w:val="auto"/>
          <w:szCs w:val="21"/>
          <w:highlight w:val="none"/>
          <w:lang w:val="zh-CN"/>
        </w:rPr>
      </w:pPr>
      <w:r>
        <w:rPr>
          <w:rFonts w:hint="eastAsia" w:ascii="Arial" w:hAnsi="Arial" w:eastAsia="黑体" w:cs="Arial"/>
          <w:b/>
          <w:bCs/>
          <w:color w:val="auto"/>
          <w:kern w:val="0"/>
          <w:sz w:val="36"/>
          <w:szCs w:val="36"/>
          <w:highlight w:val="none"/>
          <w:lang w:val="zh-CN"/>
        </w:rPr>
        <w:t>项目实施方案及服务承诺</w:t>
      </w:r>
    </w:p>
    <w:p>
      <w:pPr>
        <w:shd w:val="clear" w:color="auto" w:fill="FFFFFF"/>
        <w:autoSpaceDE w:val="0"/>
        <w:autoSpaceDN w:val="0"/>
        <w:adjustRightInd w:val="0"/>
        <w:spacing w:line="480" w:lineRule="exact"/>
        <w:ind w:firstLine="4480" w:firstLineChars="1600"/>
        <w:rPr>
          <w:rFonts w:hint="eastAsia" w:ascii="宋体"/>
          <w:color w:val="auto"/>
          <w:kern w:val="0"/>
          <w:sz w:val="28"/>
          <w:szCs w:val="28"/>
          <w:highlight w:val="none"/>
          <w:lang w:val="zh-CN"/>
        </w:rPr>
      </w:pPr>
    </w:p>
    <w:p>
      <w:pPr>
        <w:jc w:val="center"/>
        <w:rPr>
          <w:rFonts w:hint="eastAsia" w:ascii="黑体" w:hAnsi="宋体" w:eastAsia="黑体" w:cs="Times New Roman"/>
          <w:b/>
          <w:color w:val="auto"/>
          <w:kern w:val="2"/>
          <w:sz w:val="36"/>
          <w:szCs w:val="22"/>
          <w:highlight w:val="none"/>
          <w:lang w:val="zh-CN" w:eastAsia="zh-CN" w:bidi="ar-SA"/>
        </w:rPr>
      </w:pPr>
      <w:r>
        <w:rPr>
          <w:rFonts w:hint="eastAsia" w:ascii="仿宋" w:hAnsi="仿宋" w:eastAsia="仿宋" w:cs="仿宋"/>
          <w:color w:val="auto"/>
          <w:sz w:val="44"/>
          <w:szCs w:val="44"/>
          <w:highlight w:val="none"/>
        </w:rPr>
        <w:br w:type="page"/>
      </w:r>
    </w:p>
    <w:p>
      <w:pPr>
        <w:shd w:val="clear" w:color="auto" w:fill="FFFFFF"/>
        <w:autoSpaceDE w:val="0"/>
        <w:autoSpaceDN w:val="0"/>
        <w:adjustRightInd w:val="0"/>
        <w:jc w:val="center"/>
        <w:rPr>
          <w:rFonts w:ascii="Arial" w:hAnsi="Arial" w:eastAsia="黑体" w:cs="Arial"/>
          <w:b/>
          <w:bCs/>
          <w:color w:val="auto"/>
          <w:kern w:val="0"/>
          <w:sz w:val="36"/>
          <w:szCs w:val="36"/>
          <w:highlight w:val="none"/>
          <w:lang w:val="zh-CN"/>
        </w:rPr>
      </w:pPr>
    </w:p>
    <w:p>
      <w:pPr>
        <w:shd w:val="clear" w:color="auto" w:fill="FFFFFF"/>
        <w:autoSpaceDE w:val="0"/>
        <w:autoSpaceDN w:val="0"/>
        <w:adjustRightInd w:val="0"/>
        <w:jc w:val="center"/>
        <w:rPr>
          <w:rFonts w:eastAsia="黑体"/>
          <w:color w:val="auto"/>
          <w:szCs w:val="21"/>
          <w:highlight w:val="none"/>
          <w:lang w:val="zh-CN"/>
        </w:rPr>
      </w:pPr>
      <w:r>
        <w:rPr>
          <w:rFonts w:hint="eastAsia" w:ascii="Arial" w:hAnsi="Arial" w:eastAsia="黑体" w:cs="Arial"/>
          <w:b/>
          <w:bCs/>
          <w:color w:val="auto"/>
          <w:kern w:val="0"/>
          <w:sz w:val="36"/>
          <w:szCs w:val="36"/>
          <w:highlight w:val="none"/>
          <w:lang w:val="zh-CN"/>
        </w:rPr>
        <w:t>其他资料</w:t>
      </w:r>
    </w:p>
    <w:p>
      <w:pPr>
        <w:shd w:val="clear" w:color="auto" w:fill="FFFFFF"/>
        <w:autoSpaceDE w:val="0"/>
        <w:autoSpaceDN w:val="0"/>
        <w:adjustRightInd w:val="0"/>
        <w:spacing w:line="480" w:lineRule="exact"/>
        <w:jc w:val="center"/>
        <w:rPr>
          <w:rFonts w:ascii="宋体"/>
          <w:color w:val="auto"/>
          <w:sz w:val="28"/>
          <w:szCs w:val="28"/>
          <w:highlight w:val="none"/>
          <w:lang w:val="zh-CN"/>
        </w:rPr>
      </w:pPr>
    </w:p>
    <w:p>
      <w:pPr>
        <w:shd w:val="clear" w:color="auto" w:fill="FFFFFF"/>
        <w:autoSpaceDE w:val="0"/>
        <w:autoSpaceDN w:val="0"/>
        <w:adjustRightInd w:val="0"/>
        <w:spacing w:line="360" w:lineRule="auto"/>
        <w:ind w:firstLine="560"/>
        <w:rPr>
          <w:rFonts w:hint="eastAsia" w:ascii="宋体"/>
          <w:color w:val="auto"/>
          <w:kern w:val="0"/>
          <w:sz w:val="28"/>
          <w:szCs w:val="28"/>
          <w:highlight w:val="yellow"/>
          <w:lang w:val="zh-CN"/>
        </w:rPr>
      </w:pPr>
      <w:r>
        <w:rPr>
          <w:rFonts w:hint="eastAsia" w:ascii="宋体"/>
          <w:color w:val="auto"/>
          <w:sz w:val="28"/>
          <w:szCs w:val="28"/>
          <w:highlight w:val="yellow"/>
          <w:lang w:val="zh-CN"/>
        </w:rPr>
        <w:t>如：</w:t>
      </w:r>
      <w:r>
        <w:rPr>
          <w:rFonts w:hint="eastAsia" w:ascii="宋体"/>
          <w:color w:val="auto"/>
          <w:sz w:val="28"/>
          <w:szCs w:val="28"/>
          <w:highlight w:val="yellow"/>
          <w:lang w:val="en-US" w:eastAsia="zh-CN"/>
        </w:rPr>
        <w:t>证书、业绩及其他影响评分的资料以及</w:t>
      </w:r>
      <w:r>
        <w:rPr>
          <w:rFonts w:hint="eastAsia" w:ascii="宋体"/>
          <w:color w:val="auto"/>
          <w:sz w:val="28"/>
          <w:szCs w:val="28"/>
          <w:highlight w:val="yellow"/>
          <w:lang w:val="zh-CN"/>
        </w:rPr>
        <w:t>供应商认为其他有必要提供的资料</w:t>
      </w:r>
    </w:p>
    <w:p>
      <w:pPr>
        <w:jc w:val="center"/>
        <w:rPr>
          <w:rFonts w:hint="eastAsia" w:ascii="黑体" w:hAnsi="宋体" w:eastAsia="黑体" w:cs="Times New Roman"/>
          <w:b/>
          <w:color w:val="auto"/>
          <w:kern w:val="2"/>
          <w:sz w:val="36"/>
          <w:szCs w:val="22"/>
          <w:highlight w:val="none"/>
          <w:lang w:val="zh-CN" w:eastAsia="zh-CN" w:bidi="ar-SA"/>
        </w:rPr>
      </w:pPr>
      <w:r>
        <w:rPr>
          <w:rFonts w:hint="eastAsia" w:ascii="仿宋" w:hAnsi="仿宋" w:eastAsia="仿宋" w:cs="仿宋"/>
          <w:color w:val="auto"/>
          <w:sz w:val="44"/>
          <w:szCs w:val="44"/>
          <w:highlight w:val="none"/>
        </w:rPr>
        <w:br w:type="page"/>
      </w:r>
    </w:p>
    <w:p>
      <w:pPr>
        <w:jc w:val="center"/>
        <w:rPr>
          <w:rFonts w:hint="eastAsia" w:ascii="黑体" w:hAnsi="宋体" w:eastAsia="黑体" w:cs="Times New Roman"/>
          <w:b/>
          <w:color w:val="auto"/>
          <w:kern w:val="2"/>
          <w:sz w:val="36"/>
          <w:szCs w:val="22"/>
          <w:highlight w:val="none"/>
          <w:lang w:val="en-US" w:eastAsia="zh-CN" w:bidi="ar-SA"/>
        </w:rPr>
      </w:pPr>
      <w:r>
        <w:rPr>
          <w:rFonts w:hint="eastAsia" w:ascii="黑体" w:hAnsi="宋体" w:eastAsia="黑体" w:cs="Times New Roman"/>
          <w:b/>
          <w:color w:val="auto"/>
          <w:kern w:val="2"/>
          <w:sz w:val="36"/>
          <w:szCs w:val="22"/>
          <w:highlight w:val="none"/>
          <w:lang w:val="zh-CN" w:eastAsia="zh-CN" w:bidi="ar-SA"/>
        </w:rPr>
        <w:t>第</w:t>
      </w:r>
      <w:r>
        <w:rPr>
          <w:rFonts w:hint="eastAsia" w:ascii="黑体" w:hAnsi="宋体" w:eastAsia="黑体" w:cs="Times New Roman"/>
          <w:b/>
          <w:color w:val="auto"/>
          <w:kern w:val="2"/>
          <w:sz w:val="36"/>
          <w:szCs w:val="22"/>
          <w:highlight w:val="none"/>
          <w:lang w:val="en-US" w:eastAsia="zh-CN" w:bidi="ar-SA"/>
        </w:rPr>
        <w:t>五</w:t>
      </w:r>
      <w:r>
        <w:rPr>
          <w:rFonts w:hint="eastAsia" w:ascii="黑体" w:hAnsi="宋体" w:eastAsia="黑体" w:cs="Times New Roman"/>
          <w:b/>
          <w:color w:val="auto"/>
          <w:kern w:val="2"/>
          <w:sz w:val="36"/>
          <w:szCs w:val="22"/>
          <w:highlight w:val="none"/>
          <w:lang w:val="zh-CN" w:eastAsia="zh-CN" w:bidi="ar-SA"/>
        </w:rPr>
        <w:t xml:space="preserve">章   </w:t>
      </w:r>
      <w:r>
        <w:rPr>
          <w:rFonts w:hint="eastAsia" w:ascii="黑体" w:hAnsi="宋体" w:eastAsia="黑体" w:cs="Times New Roman"/>
          <w:b/>
          <w:color w:val="auto"/>
          <w:kern w:val="2"/>
          <w:sz w:val="36"/>
          <w:szCs w:val="22"/>
          <w:highlight w:val="none"/>
          <w:lang w:val="en-US" w:eastAsia="zh-CN" w:bidi="ar-SA"/>
        </w:rPr>
        <w:t>合同条款及格式</w:t>
      </w:r>
    </w:p>
    <w:p>
      <w:pPr>
        <w:jc w:val="center"/>
        <w:rPr>
          <w:rFonts w:hint="eastAsia" w:ascii="黑体" w:hAnsi="宋体" w:eastAsia="黑体"/>
          <w:b w:val="0"/>
          <w:bCs/>
          <w:color w:val="0070C0"/>
          <w:kern w:val="2"/>
          <w:sz w:val="32"/>
          <w:szCs w:val="21"/>
          <w:highlight w:val="none"/>
          <w:lang w:val="zh-CN" w:eastAsia="zh-CN" w:bidi="ar-SA"/>
        </w:rPr>
      </w:pPr>
      <w:r>
        <w:rPr>
          <w:rFonts w:hint="eastAsia" w:ascii="黑体" w:hAnsi="宋体" w:eastAsia="黑体" w:cs="Times New Roman"/>
          <w:b w:val="0"/>
          <w:bCs/>
          <w:color w:val="0070C0"/>
          <w:kern w:val="2"/>
          <w:sz w:val="32"/>
          <w:szCs w:val="21"/>
          <w:highlight w:val="none"/>
          <w:lang w:val="en-US" w:eastAsia="zh-CN" w:bidi="ar-SA"/>
        </w:rPr>
        <w:t>（按采购项目类型沟通合同管理部门选取标准合同模板，并按项目内容继续更改，请注意付款方式）</w:t>
      </w:r>
    </w:p>
    <w:p>
      <w:pPr>
        <w:pStyle w:val="29"/>
        <w:rPr>
          <w:rFonts w:hint="eastAsia"/>
          <w:color w:val="auto"/>
          <w:highlight w:val="none"/>
          <w:lang w:val="zh-CN" w:eastAsia="zh-CN"/>
        </w:rPr>
      </w:pPr>
    </w:p>
    <w:p>
      <w:pPr>
        <w:snapToGrid w:val="0"/>
        <w:spacing w:line="360" w:lineRule="auto"/>
        <w:jc w:val="center"/>
        <w:rPr>
          <w:rFonts w:hint="eastAsia" w:ascii="宋体" w:hAnsi="宋体"/>
          <w:b/>
          <w:color w:val="auto"/>
          <w:sz w:val="36"/>
          <w:highlight w:val="none"/>
        </w:rPr>
      </w:pPr>
    </w:p>
    <w:p>
      <w:pPr>
        <w:snapToGrid w:val="0"/>
        <w:spacing w:line="360" w:lineRule="auto"/>
        <w:jc w:val="center"/>
        <w:rPr>
          <w:rFonts w:hint="eastAsia" w:ascii="宋体" w:hAnsi="宋体"/>
          <w:b/>
          <w:color w:val="auto"/>
          <w:sz w:val="36"/>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XXX项目</w:t>
      </w: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采购合同</w:t>
      </w:r>
    </w:p>
    <w:p>
      <w:pPr>
        <w:jc w:val="center"/>
        <w:rPr>
          <w:color w:val="auto"/>
          <w:sz w:val="44"/>
          <w:highlight w:val="none"/>
        </w:rPr>
      </w:pPr>
    </w:p>
    <w:p>
      <w:pPr>
        <w:jc w:val="center"/>
        <w:rPr>
          <w:color w:val="auto"/>
          <w:sz w:val="44"/>
          <w:highlight w:val="none"/>
        </w:rPr>
      </w:pPr>
    </w:p>
    <w:p>
      <w:pPr>
        <w:jc w:val="center"/>
        <w:rPr>
          <w:rFonts w:hint="eastAsia" w:ascii="仿宋" w:hAnsi="仿宋" w:eastAsia="仿宋" w:cs="仿宋"/>
          <w:b/>
          <w:color w:val="auto"/>
          <w:kern w:val="0"/>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石家庄国祥运输设备有限公司</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和</w:t>
      </w:r>
    </w:p>
    <w:p>
      <w:pPr>
        <w:jc w:val="center"/>
        <w:rPr>
          <w:rFonts w:hint="eastAsia" w:ascii="仿宋" w:hAnsi="仿宋" w:eastAsia="仿宋" w:cs="仿宋"/>
          <w:b/>
          <w:color w:val="auto"/>
          <w:sz w:val="44"/>
          <w:szCs w:val="44"/>
          <w:highlight w:val="none"/>
        </w:rPr>
      </w:pPr>
    </w:p>
    <w:p>
      <w:pPr>
        <w:jc w:val="center"/>
        <w:rPr>
          <w:rFonts w:hint="eastAsia" w:ascii="仿宋_GB2312" w:hAnsi="Arial" w:eastAsia="仿宋_GB2312" w:cs="Arial"/>
          <w:b/>
          <w:color w:val="auto"/>
          <w:sz w:val="44"/>
          <w:szCs w:val="44"/>
          <w:highlight w:val="none"/>
        </w:rPr>
      </w:pPr>
      <w:r>
        <w:rPr>
          <w:rFonts w:hint="eastAsia" w:ascii="仿宋" w:hAnsi="仿宋" w:eastAsia="仿宋" w:cs="仿宋"/>
          <w:b/>
          <w:color w:val="auto"/>
          <w:sz w:val="44"/>
          <w:szCs w:val="44"/>
          <w:highlight w:val="none"/>
        </w:rPr>
        <w:t>XXXX公司</w:t>
      </w:r>
    </w:p>
    <w:p>
      <w:pPr>
        <w:jc w:val="center"/>
        <w:rPr>
          <w:rFonts w:hint="eastAsia" w:ascii="仿宋_GB2312" w:hAnsi="Arial" w:eastAsia="仿宋_GB2312" w:cs="Arial"/>
          <w:b/>
          <w:color w:val="auto"/>
          <w:sz w:val="44"/>
          <w:szCs w:val="44"/>
          <w:highlight w:val="none"/>
        </w:rPr>
      </w:pPr>
    </w:p>
    <w:p>
      <w:pPr>
        <w:jc w:val="center"/>
        <w:rPr>
          <w:rFonts w:hint="eastAsia" w:ascii="仿宋_GB2312" w:hAnsi="Arial" w:eastAsia="仿宋_GB2312" w:cs="Arial"/>
          <w:b/>
          <w:color w:val="auto"/>
          <w:sz w:val="44"/>
          <w:szCs w:val="44"/>
          <w:highlight w:val="none"/>
        </w:rPr>
      </w:pPr>
    </w:p>
    <w:p>
      <w:pPr>
        <w:jc w:val="center"/>
        <w:rPr>
          <w:rFonts w:hint="eastAsia" w:ascii="仿宋_GB2312" w:hAnsi="Arial" w:eastAsia="仿宋_GB2312" w:cs="Arial"/>
          <w:b/>
          <w:color w:val="auto"/>
          <w:sz w:val="44"/>
          <w:szCs w:val="44"/>
          <w:highlight w:val="none"/>
        </w:rPr>
      </w:pPr>
    </w:p>
    <w:p>
      <w:pPr>
        <w:ind w:right="-1" w:firstLine="2080" w:firstLineChars="650"/>
        <w:rPr>
          <w:rFonts w:ascii="宋体" w:hAnsi="宋体"/>
          <w:color w:val="auto"/>
          <w:sz w:val="32"/>
          <w:szCs w:val="32"/>
          <w:highlight w:val="none"/>
        </w:rPr>
      </w:pPr>
      <w:r>
        <w:rPr>
          <w:rFonts w:hint="eastAsia" w:ascii="宋体" w:hAnsi="宋体"/>
          <w:color w:val="auto"/>
          <w:sz w:val="32"/>
          <w:szCs w:val="32"/>
          <w:highlight w:val="none"/>
        </w:rPr>
        <w:t>合同编码：XXXX</w:t>
      </w:r>
    </w:p>
    <w:p>
      <w:pPr>
        <w:ind w:right="-1" w:firstLine="2080" w:firstLineChars="650"/>
        <w:rPr>
          <w:rFonts w:ascii="宋体" w:hAnsi="宋体"/>
          <w:color w:val="auto"/>
          <w:sz w:val="32"/>
          <w:szCs w:val="32"/>
          <w:highlight w:val="none"/>
        </w:rPr>
      </w:pPr>
      <w:r>
        <w:rPr>
          <w:rFonts w:hint="eastAsia" w:ascii="宋体" w:hAnsi="宋体"/>
          <w:color w:val="auto"/>
          <w:sz w:val="32"/>
          <w:szCs w:val="32"/>
          <w:highlight w:val="none"/>
        </w:rPr>
        <w:t>签订地点：</w:t>
      </w:r>
      <w:r>
        <w:rPr>
          <w:rFonts w:hint="eastAsia" w:ascii="宋体" w:hAnsi="宋体"/>
          <w:color w:val="auto"/>
          <w:sz w:val="32"/>
          <w:szCs w:val="32"/>
          <w:highlight w:val="none"/>
          <w:lang w:eastAsia="zh-CN"/>
        </w:rPr>
        <w:t>河北</w:t>
      </w:r>
      <w:r>
        <w:rPr>
          <w:rFonts w:hint="eastAsia" w:ascii="宋体" w:hAnsi="宋体"/>
          <w:color w:val="auto"/>
          <w:sz w:val="32"/>
          <w:szCs w:val="32"/>
          <w:highlight w:val="none"/>
        </w:rPr>
        <w:t>省</w:t>
      </w:r>
      <w:r>
        <w:rPr>
          <w:rFonts w:hint="eastAsia" w:ascii="宋体" w:hAnsi="宋体"/>
          <w:color w:val="auto"/>
          <w:sz w:val="32"/>
          <w:szCs w:val="32"/>
          <w:highlight w:val="none"/>
          <w:lang w:eastAsia="zh-CN"/>
        </w:rPr>
        <w:t>石家庄</w:t>
      </w:r>
      <w:r>
        <w:rPr>
          <w:rFonts w:hint="eastAsia" w:ascii="宋体" w:hAnsi="宋体"/>
          <w:color w:val="auto"/>
          <w:sz w:val="32"/>
          <w:szCs w:val="32"/>
          <w:highlight w:val="none"/>
        </w:rPr>
        <w:t>市</w:t>
      </w:r>
    </w:p>
    <w:p>
      <w:pPr>
        <w:ind w:right="-1" w:firstLine="2080" w:firstLineChars="650"/>
        <w:rPr>
          <w:rFonts w:ascii="宋体" w:hAnsi="宋体"/>
          <w:color w:val="auto"/>
          <w:sz w:val="32"/>
          <w:szCs w:val="32"/>
          <w:highlight w:val="none"/>
        </w:rPr>
      </w:pPr>
      <w:r>
        <w:rPr>
          <w:rFonts w:hint="eastAsia" w:ascii="宋体" w:hAnsi="宋体"/>
          <w:color w:val="auto"/>
          <w:sz w:val="32"/>
          <w:szCs w:val="32"/>
          <w:highlight w:val="none"/>
        </w:rPr>
        <w:t>签订时间：XXXX年XX月XX日</w:t>
      </w:r>
    </w:p>
    <w:p>
      <w:pPr>
        <w:pStyle w:val="67"/>
        <w:widowControl/>
        <w:tabs>
          <w:tab w:val="clear" w:pos="0"/>
        </w:tabs>
        <w:ind w:right="1109"/>
        <w:jc w:val="left"/>
        <w:rPr>
          <w:rFonts w:hint="eastAsia" w:ascii="宋体" w:hAnsi="宋体"/>
          <w:b/>
          <w:bCs/>
          <w:i w:val="0"/>
          <w:iCs w:val="0"/>
          <w:color w:val="auto"/>
          <w:sz w:val="24"/>
          <w:szCs w:val="24"/>
          <w:highlight w:val="none"/>
        </w:rPr>
      </w:pPr>
    </w:p>
    <w:p>
      <w:pPr>
        <w:pStyle w:val="67"/>
        <w:widowControl/>
        <w:tabs>
          <w:tab w:val="clear" w:pos="0"/>
        </w:tabs>
        <w:ind w:right="1109"/>
        <w:jc w:val="left"/>
        <w:rPr>
          <w:rFonts w:hint="eastAsia" w:ascii="宋体" w:hAnsi="宋体"/>
          <w:b/>
          <w:bCs/>
          <w:i w:val="0"/>
          <w:iCs w:val="0"/>
          <w:color w:val="auto"/>
          <w:sz w:val="24"/>
          <w:szCs w:val="24"/>
          <w:highlight w:val="none"/>
        </w:rPr>
      </w:pPr>
    </w:p>
    <w:p>
      <w:pPr>
        <w:pStyle w:val="67"/>
        <w:widowControl/>
        <w:tabs>
          <w:tab w:val="clear" w:pos="0"/>
        </w:tabs>
        <w:ind w:right="1109"/>
        <w:jc w:val="left"/>
        <w:rPr>
          <w:rFonts w:hint="eastAsia" w:ascii="宋体" w:hAnsi="宋体"/>
          <w:b/>
          <w:bCs/>
          <w:i w:val="0"/>
          <w:iCs w:val="0"/>
          <w:color w:val="auto"/>
          <w:sz w:val="24"/>
          <w:szCs w:val="24"/>
          <w:highlight w:val="none"/>
        </w:rPr>
      </w:pPr>
    </w:p>
    <w:p>
      <w:pPr>
        <w:pStyle w:val="67"/>
        <w:widowControl/>
        <w:tabs>
          <w:tab w:val="clear" w:pos="0"/>
        </w:tabs>
        <w:ind w:right="1109"/>
        <w:jc w:val="left"/>
        <w:rPr>
          <w:rFonts w:hint="eastAsia" w:ascii="宋体" w:hAnsi="宋体"/>
          <w:b/>
          <w:bCs/>
          <w:i w:val="0"/>
          <w:iCs w:val="0"/>
          <w:color w:val="auto"/>
          <w:sz w:val="24"/>
          <w:szCs w:val="24"/>
          <w:highlight w:val="none"/>
        </w:rPr>
      </w:pPr>
    </w:p>
    <w:p>
      <w:pPr>
        <w:pStyle w:val="67"/>
        <w:widowControl/>
        <w:tabs>
          <w:tab w:val="clear" w:pos="0"/>
        </w:tabs>
        <w:ind w:right="1109"/>
        <w:jc w:val="left"/>
        <w:rPr>
          <w:rFonts w:hint="eastAsia" w:ascii="宋体" w:hAnsi="宋体"/>
          <w:b/>
          <w:bCs/>
          <w:i w:val="0"/>
          <w:iCs w:val="0"/>
          <w:color w:val="auto"/>
          <w:sz w:val="24"/>
          <w:szCs w:val="24"/>
          <w:highlight w:val="none"/>
        </w:rPr>
      </w:pPr>
    </w:p>
    <w:p>
      <w:pPr>
        <w:pStyle w:val="67"/>
        <w:widowControl/>
        <w:tabs>
          <w:tab w:val="clear" w:pos="0"/>
        </w:tabs>
        <w:ind w:right="1109"/>
        <w:jc w:val="left"/>
        <w:rPr>
          <w:rFonts w:hint="eastAsia" w:ascii="宋体" w:hAnsi="宋体"/>
          <w:b/>
          <w:bCs/>
          <w:i w:val="0"/>
          <w:iCs w:val="0"/>
          <w:color w:val="auto"/>
          <w:sz w:val="24"/>
          <w:szCs w:val="24"/>
          <w:highlight w:val="none"/>
        </w:rPr>
      </w:pPr>
    </w:p>
    <w:p>
      <w:pPr>
        <w:pStyle w:val="67"/>
        <w:widowControl/>
        <w:tabs>
          <w:tab w:val="clear" w:pos="0"/>
        </w:tabs>
        <w:ind w:right="1109"/>
        <w:jc w:val="left"/>
        <w:rPr>
          <w:rFonts w:hint="eastAsia" w:ascii="宋体" w:hAnsi="宋体"/>
          <w:b/>
          <w:bCs/>
          <w:i w:val="0"/>
          <w:iCs w:val="0"/>
          <w:color w:val="auto"/>
          <w:sz w:val="24"/>
          <w:szCs w:val="24"/>
          <w:highlight w:val="none"/>
        </w:rPr>
      </w:pPr>
    </w:p>
    <w:p>
      <w:pPr>
        <w:spacing w:before="0" w:beforeLines="0" w:afterLines="0" w:line="240" w:lineRule="atLeast"/>
        <w:ind w:firstLine="301" w:firstLineChars="200"/>
        <w:rPr>
          <w:rFonts w:hint="eastAsia" w:ascii="宋体" w:hAnsi="宋体" w:cs="宋体"/>
          <w:b/>
          <w:color w:val="auto"/>
          <w:sz w:val="15"/>
          <w:szCs w:val="15"/>
          <w:highlight w:val="none"/>
        </w:rPr>
      </w:pPr>
    </w:p>
    <w:p>
      <w:pPr>
        <w:spacing w:before="0" w:beforeLines="0" w:afterLines="0" w:line="240" w:lineRule="atLeast"/>
        <w:ind w:firstLine="301" w:firstLineChars="200"/>
        <w:rPr>
          <w:rFonts w:hint="eastAsia" w:ascii="宋体" w:hAnsi="宋体" w:eastAsia="宋体" w:cs="宋体"/>
          <w:b/>
          <w:color w:val="auto"/>
          <w:sz w:val="15"/>
          <w:szCs w:val="15"/>
          <w:highlight w:val="none"/>
          <w:lang w:eastAsia="zh-CN"/>
        </w:rPr>
      </w:pPr>
      <w:r>
        <w:rPr>
          <w:rFonts w:hint="eastAsia" w:ascii="宋体" w:hAnsi="宋体" w:cs="宋体"/>
          <w:b/>
          <w:color w:val="auto"/>
          <w:sz w:val="15"/>
          <w:szCs w:val="15"/>
          <w:highlight w:val="none"/>
        </w:rPr>
        <w:t>买方</w:t>
      </w:r>
      <w:r>
        <w:rPr>
          <w:rFonts w:hint="eastAsia" w:ascii="宋体" w:hAnsi="宋体" w:cs="宋体"/>
          <w:b/>
          <w:color w:val="auto"/>
          <w:sz w:val="15"/>
          <w:szCs w:val="15"/>
          <w:highlight w:val="none"/>
          <w:lang w:val="de-DE"/>
        </w:rPr>
        <w:t>：</w:t>
      </w:r>
      <w:r>
        <w:rPr>
          <w:rFonts w:hint="eastAsia" w:ascii="宋体" w:hAnsi="宋体" w:cs="宋体"/>
          <w:b/>
          <w:color w:val="auto"/>
          <w:sz w:val="15"/>
          <w:szCs w:val="15"/>
          <w:highlight w:val="none"/>
          <w:lang w:eastAsia="zh-CN"/>
        </w:rPr>
        <w:t>石家庄国祥运输设备有限公司</w:t>
      </w:r>
    </w:p>
    <w:p>
      <w:pPr>
        <w:spacing w:before="0" w:beforeLines="0" w:afterLines="0" w:line="240" w:lineRule="atLeast"/>
        <w:ind w:firstLine="0" w:firstLineChars="0"/>
        <w:rPr>
          <w:rFonts w:hint="eastAsia" w:ascii="宋体" w:hAnsi="宋体" w:cs="宋体"/>
          <w:b/>
          <w:color w:val="auto"/>
          <w:sz w:val="15"/>
          <w:szCs w:val="15"/>
          <w:highlight w:val="none"/>
        </w:rPr>
      </w:pPr>
      <w:r>
        <w:rPr>
          <w:rFonts w:hint="eastAsia" w:ascii="宋体" w:hAnsi="宋体" w:cs="宋体"/>
          <w:b/>
          <w:color w:val="auto"/>
          <w:sz w:val="15"/>
          <w:szCs w:val="15"/>
          <w:highlight w:val="none"/>
          <w:lang w:val="en-US" w:eastAsia="zh-CN"/>
        </w:rPr>
        <w:t xml:space="preserve">    </w:t>
      </w:r>
      <w:r>
        <w:rPr>
          <w:rFonts w:hint="eastAsia" w:ascii="宋体" w:hAnsi="宋体" w:cs="宋体"/>
          <w:b/>
          <w:color w:val="auto"/>
          <w:sz w:val="15"/>
          <w:szCs w:val="15"/>
          <w:highlight w:val="none"/>
        </w:rPr>
        <w:t>卖方：XX</w:t>
      </w:r>
      <w:r>
        <w:rPr>
          <w:rFonts w:hint="eastAsia" w:ascii="宋体" w:hAnsi="宋体" w:cs="宋体"/>
          <w:b/>
          <w:color w:val="auto"/>
          <w:sz w:val="15"/>
          <w:szCs w:val="15"/>
          <w:highlight w:val="none"/>
          <w:lang w:val="de-DE"/>
        </w:rPr>
        <w:t>公司</w:t>
      </w:r>
    </w:p>
    <w:p>
      <w:pPr>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鉴于：买方需要购买标的货物，卖方具有标的货物的供货能力及资质，现就标的货物的买卖事宜，经双方平等协商，订立本合同。</w:t>
      </w:r>
    </w:p>
    <w:p>
      <w:pPr>
        <w:pStyle w:val="2"/>
        <w:spacing w:before="0" w:beforeLines="0" w:afterLines="0" w:line="240" w:lineRule="atLeast"/>
        <w:rPr>
          <w:rFonts w:hint="eastAsia" w:ascii="宋体" w:hAnsi="宋体" w:cs="宋体"/>
          <w:color w:val="auto"/>
          <w:sz w:val="15"/>
          <w:szCs w:val="15"/>
          <w:highlight w:val="none"/>
        </w:rPr>
      </w:pPr>
      <w:bookmarkStart w:id="165" w:name="_Toc28925"/>
      <w:r>
        <w:rPr>
          <w:rFonts w:hint="eastAsia" w:ascii="宋体" w:hAnsi="宋体" w:eastAsia="宋体" w:cs="宋体"/>
          <w:color w:val="auto"/>
          <w:kern w:val="16"/>
          <w:sz w:val="15"/>
          <w:szCs w:val="15"/>
          <w:highlight w:val="none"/>
          <w:lang w:eastAsia="zh-CN"/>
        </w:rPr>
        <w:t>1.标的货物</w:t>
      </w:r>
      <w:bookmarkEnd w:id="165"/>
    </w:p>
    <w:p>
      <w:pPr>
        <w:spacing w:before="0" w:beforeLines="0" w:afterLines="0" w:line="240" w:lineRule="atLeast"/>
        <w:ind w:firstLine="300" w:firstLineChars="200"/>
        <w:rPr>
          <w:rFonts w:ascii="宋体" w:hAnsi="宋体" w:cs="宋体"/>
          <w:color w:val="auto"/>
          <w:sz w:val="15"/>
          <w:szCs w:val="15"/>
          <w:highlight w:val="none"/>
        </w:rPr>
      </w:pPr>
      <w:r>
        <w:rPr>
          <w:rFonts w:hint="eastAsia" w:ascii="宋体" w:hAnsi="宋体" w:cs="宋体"/>
          <w:color w:val="auto"/>
          <w:sz w:val="15"/>
          <w:szCs w:val="15"/>
          <w:highlight w:val="none"/>
        </w:rPr>
        <w:t>1.1本合同项下标的货物</w:t>
      </w:r>
      <w:r>
        <w:rPr>
          <w:rFonts w:hint="eastAsia" w:ascii="宋体" w:hAnsi="宋体" w:cs="宋体"/>
          <w:color w:val="auto"/>
          <w:kern w:val="16"/>
          <w:sz w:val="15"/>
          <w:szCs w:val="15"/>
          <w:highlight w:val="none"/>
        </w:rPr>
        <w:t>(以下简称“货物”)</w:t>
      </w:r>
      <w:r>
        <w:rPr>
          <w:rFonts w:hint="eastAsia" w:ascii="宋体" w:hAnsi="宋体" w:cs="宋体"/>
          <w:color w:val="auto"/>
          <w:sz w:val="15"/>
          <w:szCs w:val="15"/>
          <w:highlight w:val="none"/>
        </w:rPr>
        <w:t>的名称、规格型号及价格等，详见以下供货清单：</w:t>
      </w:r>
    </w:p>
    <w:p>
      <w:pPr>
        <w:spacing w:beforeLines="0" w:afterLines="0" w:line="240" w:lineRule="atLeast"/>
        <w:ind w:firstLine="300" w:firstLineChars="200"/>
        <w:rPr>
          <w:rFonts w:hint="eastAsia" w:ascii="宋体" w:hAnsi="宋体" w:cs="宋体"/>
          <w:color w:val="auto"/>
          <w:sz w:val="15"/>
          <w:szCs w:val="15"/>
          <w:highlight w:val="none"/>
        </w:rPr>
      </w:pPr>
    </w:p>
    <w:p>
      <w:pPr>
        <w:spacing w:beforeLines="0" w:afterLines="0" w:line="240" w:lineRule="atLeast"/>
        <w:ind w:firstLine="160" w:firstLineChars="200"/>
        <w:jc w:val="right"/>
        <w:rPr>
          <w:rFonts w:hint="eastAsia" w:ascii="宋体" w:hAnsi="宋体" w:cs="宋体"/>
          <w:color w:val="auto"/>
          <w:sz w:val="8"/>
          <w:szCs w:val="8"/>
          <w:highlight w:val="none"/>
        </w:rPr>
      </w:pPr>
      <w:r>
        <w:rPr>
          <w:rFonts w:hint="eastAsia" w:ascii="宋体" w:hAnsi="宋体" w:cs="宋体"/>
          <w:color w:val="auto"/>
          <w:sz w:val="8"/>
          <w:szCs w:val="8"/>
          <w:highlight w:val="none"/>
        </w:rPr>
        <w:t xml:space="preserve">                                           </w:t>
      </w:r>
      <w:r>
        <w:rPr>
          <w:rFonts w:hint="eastAsia" w:ascii="宋体" w:hAnsi="宋体" w:cs="宋体"/>
          <w:color w:val="auto"/>
          <w:sz w:val="15"/>
          <w:szCs w:val="15"/>
          <w:highlight w:val="none"/>
        </w:rPr>
        <w:t xml:space="preserve"> （币种：</w:t>
      </w:r>
      <w:r>
        <w:rPr>
          <w:rFonts w:hint="eastAsia" w:ascii="宋体" w:hAnsi="宋体" w:cs="宋体"/>
          <w:color w:val="auto"/>
          <w:kern w:val="44"/>
          <w:sz w:val="15"/>
          <w:szCs w:val="15"/>
          <w:highlight w:val="none"/>
        </w:rPr>
        <w:t>人民币</w:t>
      </w:r>
      <w:r>
        <w:rPr>
          <w:rFonts w:hint="eastAsia" w:ascii="宋体" w:hAnsi="宋体" w:cs="宋体"/>
          <w:color w:val="auto"/>
          <w:sz w:val="15"/>
          <w:szCs w:val="15"/>
          <w:highlight w:val="none"/>
        </w:rPr>
        <w:t>；货币单位：</w:t>
      </w:r>
      <w:r>
        <w:rPr>
          <w:rFonts w:hint="eastAsia" w:ascii="宋体" w:hAnsi="宋体"/>
          <w:color w:val="auto"/>
          <w:sz w:val="15"/>
          <w:szCs w:val="15"/>
          <w:highlight w:val="none"/>
        </w:rPr>
        <w:t>元</w:t>
      </w:r>
      <w:r>
        <w:rPr>
          <w:rFonts w:hint="eastAsia" w:ascii="宋体" w:hAnsi="宋体" w:cs="宋体"/>
          <w:color w:val="auto"/>
          <w:sz w:val="15"/>
          <w:szCs w:val="15"/>
          <w:highlight w:val="none"/>
        </w:rPr>
        <w:t>）</w:t>
      </w:r>
    </w:p>
    <w:p>
      <w:pPr>
        <w:spacing w:beforeLines="0" w:afterLines="0" w:line="240" w:lineRule="atLeast"/>
        <w:rPr>
          <w:rFonts w:hint="eastAsia" w:ascii="宋体" w:hAnsi="宋体" w:cs="宋体"/>
          <w:vanish/>
          <w:color w:val="auto"/>
          <w:sz w:val="8"/>
          <w:szCs w:val="8"/>
          <w:highlight w:val="none"/>
        </w:rPr>
      </w:pPr>
    </w:p>
    <w:tbl>
      <w:tblPr>
        <w:tblStyle w:val="60"/>
        <w:tblW w:w="952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34"/>
        <w:gridCol w:w="664"/>
        <w:gridCol w:w="1317"/>
        <w:gridCol w:w="1007"/>
        <w:gridCol w:w="564"/>
        <w:gridCol w:w="529"/>
        <w:gridCol w:w="836"/>
        <w:gridCol w:w="852"/>
        <w:gridCol w:w="876"/>
        <w:gridCol w:w="876"/>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92" w:hRule="atLeast"/>
          <w:jc w:val="center"/>
        </w:trPr>
        <w:tc>
          <w:tcPr>
            <w:tcW w:w="817"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lang w:eastAsia="zh-CN"/>
              </w:rPr>
              <w:t>物料编码</w:t>
            </w:r>
          </w:p>
        </w:tc>
        <w:tc>
          <w:tcPr>
            <w:tcW w:w="998" w:type="dxa"/>
            <w:gridSpan w:val="2"/>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lang w:eastAsia="zh-CN"/>
              </w:rPr>
              <w:t>物料名称</w:t>
            </w:r>
          </w:p>
        </w:tc>
        <w:tc>
          <w:tcPr>
            <w:tcW w:w="1317"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图号或规格型号</w:t>
            </w:r>
          </w:p>
        </w:tc>
        <w:tc>
          <w:tcPr>
            <w:tcW w:w="1007" w:type="dxa"/>
            <w:tcBorders>
              <w:righ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eastAsia="宋体" w:cs="宋体"/>
                <w:color w:val="auto"/>
                <w:sz w:val="15"/>
                <w:szCs w:val="15"/>
                <w:highlight w:val="none"/>
                <w:lang w:eastAsia="zh-CN"/>
              </w:rPr>
            </w:pPr>
            <w:r>
              <w:rPr>
                <w:rFonts w:hint="eastAsia" w:ascii="宋体" w:hAnsi="宋体" w:cs="宋体"/>
                <w:color w:val="auto"/>
                <w:sz w:val="15"/>
                <w:szCs w:val="15"/>
                <w:highlight w:val="none"/>
                <w:lang w:eastAsia="zh-CN"/>
              </w:rPr>
              <w:t>交货日期</w:t>
            </w:r>
          </w:p>
        </w:tc>
        <w:tc>
          <w:tcPr>
            <w:tcW w:w="564" w:type="dxa"/>
            <w:tcBorders>
              <w:lef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单位</w:t>
            </w:r>
          </w:p>
        </w:tc>
        <w:tc>
          <w:tcPr>
            <w:tcW w:w="529" w:type="dxa"/>
            <w:tcBorders>
              <w:righ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数量</w:t>
            </w:r>
          </w:p>
        </w:tc>
        <w:tc>
          <w:tcPr>
            <w:tcW w:w="836" w:type="dxa"/>
            <w:tcBorders>
              <w:lef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单价</w:t>
            </w:r>
          </w:p>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(不含税)</w:t>
            </w:r>
          </w:p>
        </w:tc>
        <w:tc>
          <w:tcPr>
            <w:tcW w:w="852"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总价</w:t>
            </w:r>
          </w:p>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(不含税)</w:t>
            </w:r>
          </w:p>
        </w:tc>
        <w:tc>
          <w:tcPr>
            <w:tcW w:w="876" w:type="dxa"/>
            <w:vAlign w:val="top"/>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税率</w:t>
            </w:r>
          </w:p>
        </w:tc>
        <w:tc>
          <w:tcPr>
            <w:tcW w:w="876"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总价</w:t>
            </w:r>
          </w:p>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(含税)</w:t>
            </w:r>
          </w:p>
        </w:tc>
        <w:tc>
          <w:tcPr>
            <w:tcW w:w="852"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r>
              <w:rPr>
                <w:rFonts w:hint="eastAsia" w:ascii="宋体" w:hAnsi="宋体" w:cs="宋体"/>
                <w:color w:val="auto"/>
                <w:sz w:val="15"/>
                <w:szCs w:val="15"/>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69" w:hRule="atLeast"/>
          <w:jc w:val="center"/>
        </w:trPr>
        <w:tc>
          <w:tcPr>
            <w:tcW w:w="817"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998" w:type="dxa"/>
            <w:gridSpan w:val="2"/>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1317"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1007" w:type="dxa"/>
            <w:tcBorders>
              <w:righ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564" w:type="dxa"/>
            <w:tcBorders>
              <w:lef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default" w:ascii="宋体" w:hAnsi="宋体"/>
                <w:color w:val="auto"/>
                <w:sz w:val="15"/>
                <w:szCs w:val="15"/>
                <w:highlight w:val="none"/>
                <w:u w:val="single"/>
              </w:rPr>
            </w:pPr>
          </w:p>
        </w:tc>
        <w:tc>
          <w:tcPr>
            <w:tcW w:w="529" w:type="dxa"/>
            <w:tcBorders>
              <w:righ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36" w:type="dxa"/>
            <w:tcBorders>
              <w:lef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52"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76" w:type="dxa"/>
            <w:vAlign w:val="top"/>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76"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52"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69" w:hRule="atLeast"/>
          <w:jc w:val="center"/>
        </w:trPr>
        <w:tc>
          <w:tcPr>
            <w:tcW w:w="817"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998" w:type="dxa"/>
            <w:gridSpan w:val="2"/>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1317"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1007" w:type="dxa"/>
            <w:tcBorders>
              <w:righ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564" w:type="dxa"/>
            <w:tcBorders>
              <w:lef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default" w:ascii="宋体" w:hAnsi="宋体"/>
                <w:color w:val="auto"/>
                <w:sz w:val="15"/>
                <w:szCs w:val="15"/>
                <w:highlight w:val="none"/>
                <w:u w:val="single"/>
              </w:rPr>
            </w:pPr>
          </w:p>
        </w:tc>
        <w:tc>
          <w:tcPr>
            <w:tcW w:w="529" w:type="dxa"/>
            <w:tcBorders>
              <w:righ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36" w:type="dxa"/>
            <w:tcBorders>
              <w:left w:val="single" w:color="auto" w:sz="4" w:space="0"/>
            </w:tcBorders>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52"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76" w:type="dxa"/>
            <w:vAlign w:val="top"/>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76"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c>
          <w:tcPr>
            <w:tcW w:w="852" w:type="dxa"/>
            <w:vAlign w:val="center"/>
          </w:tcPr>
          <w:p>
            <w:pPr>
              <w:keepNext w:val="0"/>
              <w:keepLines w:val="0"/>
              <w:suppressLineNumbers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60" w:hRule="atLeast"/>
          <w:jc w:val="center"/>
        </w:trPr>
        <w:tc>
          <w:tcPr>
            <w:tcW w:w="1151" w:type="dxa"/>
            <w:gridSpan w:val="2"/>
            <w:vMerge w:val="restart"/>
            <w:tcBorders>
              <w:right w:val="single" w:color="auto" w:sz="4" w:space="0"/>
            </w:tcBorders>
            <w:vAlign w:val="center"/>
          </w:tcPr>
          <w:p>
            <w:pPr>
              <w:keepNext w:val="0"/>
              <w:keepLines w:val="0"/>
              <w:suppressLineNumbers w:val="0"/>
              <w:adjustRightInd w:val="0"/>
              <w:snapToGrid w:val="0"/>
              <w:spacing w:before="0" w:beforeLines="0" w:beforeAutospacing="0" w:after="0" w:afterLines="0" w:afterAutospacing="0" w:line="240" w:lineRule="atLeast"/>
              <w:ind w:left="0" w:right="0"/>
              <w:rPr>
                <w:rFonts w:hint="eastAsia" w:ascii="宋体" w:hAnsi="宋体" w:cs="宋体"/>
                <w:color w:val="auto"/>
                <w:sz w:val="15"/>
                <w:szCs w:val="15"/>
                <w:highlight w:val="none"/>
              </w:rPr>
            </w:pPr>
            <w:r>
              <w:rPr>
                <w:rFonts w:hint="eastAsia" w:ascii="宋体" w:hAnsi="宋体" w:cs="宋体"/>
                <w:color w:val="auto"/>
                <w:sz w:val="15"/>
                <w:szCs w:val="15"/>
                <w:highlight w:val="none"/>
              </w:rPr>
              <w:t>合计（不含税）</w:t>
            </w:r>
          </w:p>
        </w:tc>
        <w:tc>
          <w:tcPr>
            <w:tcW w:w="8373" w:type="dxa"/>
            <w:gridSpan w:val="10"/>
            <w:vAlign w:val="top"/>
          </w:tcPr>
          <w:p>
            <w:pPr>
              <w:keepNext w:val="0"/>
              <w:keepLines w:val="0"/>
              <w:suppressLineNumbers w:val="0"/>
              <w:adjustRightInd w:val="0"/>
              <w:snapToGrid w:val="0"/>
              <w:spacing w:before="0" w:beforeLines="0" w:beforeAutospacing="0" w:after="0" w:afterLines="0" w:afterAutospacing="0" w:line="240" w:lineRule="atLeast"/>
              <w:ind w:left="0" w:right="0"/>
              <w:jc w:val="left"/>
              <w:rPr>
                <w:rFonts w:hint="default" w:ascii="宋体" w:hAnsi="宋体" w:cs="宋体"/>
                <w:color w:val="auto"/>
                <w:sz w:val="15"/>
                <w:szCs w:val="15"/>
                <w:highlight w:val="none"/>
              </w:rPr>
            </w:pPr>
            <w:r>
              <w:rPr>
                <w:rFonts w:hint="eastAsia" w:ascii="宋体" w:hAnsi="宋体" w:cs="宋体"/>
                <w:color w:val="auto"/>
                <w:sz w:val="15"/>
                <w:szCs w:val="15"/>
                <w:highlight w:val="none"/>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41" w:hRule="atLeast"/>
          <w:jc w:val="center"/>
        </w:trPr>
        <w:tc>
          <w:tcPr>
            <w:tcW w:w="1151" w:type="dxa"/>
            <w:gridSpan w:val="2"/>
            <w:vMerge w:val="continue"/>
            <w:tcBorders>
              <w:right w:val="single" w:color="auto" w:sz="4" w:space="0"/>
            </w:tcBorders>
            <w:vAlign w:val="center"/>
          </w:tcPr>
          <w:p>
            <w:pPr>
              <w:keepNext w:val="0"/>
              <w:keepLines w:val="0"/>
              <w:suppressLineNumbers w:val="0"/>
              <w:adjustRightInd w:val="0"/>
              <w:snapToGrid w:val="0"/>
              <w:spacing w:before="0" w:beforeLines="0" w:beforeAutospacing="0" w:after="0" w:afterLines="0" w:afterAutospacing="0" w:line="240" w:lineRule="atLeast"/>
              <w:ind w:left="0" w:right="0"/>
              <w:rPr>
                <w:rFonts w:hint="eastAsia" w:ascii="宋体" w:hAnsi="宋体" w:cs="宋体"/>
                <w:color w:val="auto"/>
                <w:sz w:val="15"/>
                <w:szCs w:val="15"/>
                <w:highlight w:val="none"/>
              </w:rPr>
            </w:pPr>
          </w:p>
        </w:tc>
        <w:tc>
          <w:tcPr>
            <w:tcW w:w="8373" w:type="dxa"/>
            <w:gridSpan w:val="10"/>
            <w:vAlign w:val="top"/>
          </w:tcPr>
          <w:p>
            <w:pPr>
              <w:keepNext w:val="0"/>
              <w:keepLines w:val="0"/>
              <w:suppressLineNumbers w:val="0"/>
              <w:snapToGrid w:val="0"/>
              <w:spacing w:before="0" w:beforeLines="0" w:beforeAutospacing="0" w:after="0" w:afterLines="0" w:afterAutospacing="0" w:line="240" w:lineRule="atLeast"/>
              <w:ind w:left="0" w:right="0"/>
              <w:jc w:val="left"/>
              <w:rPr>
                <w:rFonts w:hint="eastAsia" w:ascii="宋体" w:hAnsi="宋体" w:cs="宋体"/>
                <w:color w:val="auto"/>
                <w:sz w:val="15"/>
                <w:szCs w:val="15"/>
                <w:highlight w:val="none"/>
              </w:rPr>
            </w:pPr>
            <w:r>
              <w:rPr>
                <w:rFonts w:hint="eastAsia" w:ascii="宋体" w:hAnsi="宋体" w:cs="宋体"/>
                <w:color w:val="auto"/>
                <w:sz w:val="15"/>
                <w:szCs w:val="15"/>
                <w:highlight w:val="none"/>
              </w:rPr>
              <w:t>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60" w:hRule="atLeast"/>
          <w:jc w:val="center"/>
        </w:trPr>
        <w:tc>
          <w:tcPr>
            <w:tcW w:w="1151" w:type="dxa"/>
            <w:gridSpan w:val="2"/>
            <w:vMerge w:val="restart"/>
            <w:tcBorders>
              <w:right w:val="single" w:color="auto" w:sz="4" w:space="0"/>
            </w:tcBorders>
            <w:vAlign w:val="center"/>
          </w:tcPr>
          <w:p>
            <w:pPr>
              <w:keepNext w:val="0"/>
              <w:keepLines w:val="0"/>
              <w:suppressLineNumbers w:val="0"/>
              <w:adjustRightInd w:val="0"/>
              <w:snapToGrid w:val="0"/>
              <w:spacing w:before="0" w:beforeLines="0" w:beforeAutospacing="0" w:after="0" w:afterLines="0" w:afterAutospacing="0" w:line="240" w:lineRule="atLeast"/>
              <w:ind w:left="0" w:right="0"/>
              <w:rPr>
                <w:rFonts w:hint="eastAsia" w:ascii="宋体" w:hAnsi="宋体" w:cs="宋体"/>
                <w:color w:val="auto"/>
                <w:sz w:val="15"/>
                <w:szCs w:val="15"/>
                <w:highlight w:val="none"/>
              </w:rPr>
            </w:pPr>
            <w:r>
              <w:rPr>
                <w:rFonts w:hint="eastAsia" w:ascii="宋体" w:hAnsi="宋体" w:cs="宋体"/>
                <w:color w:val="auto"/>
                <w:sz w:val="15"/>
                <w:szCs w:val="15"/>
                <w:highlight w:val="none"/>
              </w:rPr>
              <w:t>合计（含税）</w:t>
            </w:r>
          </w:p>
        </w:tc>
        <w:tc>
          <w:tcPr>
            <w:tcW w:w="8373" w:type="dxa"/>
            <w:gridSpan w:val="10"/>
            <w:vAlign w:val="top"/>
          </w:tcPr>
          <w:p>
            <w:pPr>
              <w:keepNext w:val="0"/>
              <w:keepLines w:val="0"/>
              <w:suppressLineNumbers w:val="0"/>
              <w:adjustRightInd w:val="0"/>
              <w:snapToGrid w:val="0"/>
              <w:spacing w:before="0" w:beforeLines="0" w:beforeAutospacing="0" w:after="0" w:afterLines="0" w:afterAutospacing="0" w:line="240" w:lineRule="atLeast"/>
              <w:ind w:left="0" w:right="0"/>
              <w:jc w:val="left"/>
              <w:rPr>
                <w:rFonts w:hint="eastAsia" w:ascii="宋体" w:hAnsi="宋体" w:cs="宋体"/>
                <w:color w:val="auto"/>
                <w:sz w:val="15"/>
                <w:szCs w:val="15"/>
                <w:highlight w:val="none"/>
              </w:rPr>
            </w:pPr>
            <w:r>
              <w:rPr>
                <w:rFonts w:hint="eastAsia" w:ascii="宋体" w:hAnsi="宋体" w:cs="宋体"/>
                <w:color w:val="auto"/>
                <w:sz w:val="15"/>
                <w:szCs w:val="15"/>
                <w:highlight w:val="none"/>
              </w:rPr>
              <w:t>小写：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18" w:hRule="atLeast"/>
          <w:jc w:val="center"/>
        </w:trPr>
        <w:tc>
          <w:tcPr>
            <w:tcW w:w="1151" w:type="dxa"/>
            <w:gridSpan w:val="2"/>
            <w:vMerge w:val="continue"/>
            <w:tcBorders>
              <w:right w:val="single" w:color="auto" w:sz="4" w:space="0"/>
            </w:tcBorders>
            <w:vAlign w:val="center"/>
          </w:tcPr>
          <w:p>
            <w:pPr>
              <w:keepNext w:val="0"/>
              <w:keepLines w:val="0"/>
              <w:suppressLineNumbers w:val="0"/>
              <w:adjustRightInd w:val="0"/>
              <w:snapToGrid w:val="0"/>
              <w:spacing w:before="0" w:beforeLines="0" w:beforeAutospacing="0" w:after="0" w:afterLines="0" w:afterAutospacing="0" w:line="240" w:lineRule="atLeast"/>
              <w:ind w:left="0" w:right="0"/>
              <w:jc w:val="center"/>
              <w:rPr>
                <w:rFonts w:hint="eastAsia" w:ascii="宋体" w:hAnsi="宋体" w:cs="宋体"/>
                <w:color w:val="auto"/>
                <w:sz w:val="15"/>
                <w:szCs w:val="15"/>
                <w:highlight w:val="none"/>
              </w:rPr>
            </w:pPr>
          </w:p>
        </w:tc>
        <w:tc>
          <w:tcPr>
            <w:tcW w:w="8373" w:type="dxa"/>
            <w:gridSpan w:val="10"/>
            <w:vAlign w:val="top"/>
          </w:tcPr>
          <w:p>
            <w:pPr>
              <w:keepNext w:val="0"/>
              <w:keepLines w:val="0"/>
              <w:suppressLineNumbers w:val="0"/>
              <w:snapToGrid w:val="0"/>
              <w:spacing w:before="0" w:beforeLines="0" w:beforeAutospacing="0" w:after="0" w:afterLines="0" w:afterAutospacing="0" w:line="240" w:lineRule="atLeast"/>
              <w:ind w:left="0" w:right="0"/>
              <w:jc w:val="left"/>
              <w:rPr>
                <w:rFonts w:hint="eastAsia" w:ascii="宋体" w:hAnsi="宋体" w:cs="宋体"/>
                <w:color w:val="auto"/>
                <w:sz w:val="15"/>
                <w:szCs w:val="15"/>
                <w:highlight w:val="none"/>
              </w:rPr>
            </w:pPr>
            <w:r>
              <w:rPr>
                <w:rFonts w:hint="eastAsia" w:ascii="宋体" w:hAnsi="宋体" w:cs="宋体"/>
                <w:color w:val="auto"/>
                <w:sz w:val="15"/>
                <w:szCs w:val="15"/>
                <w:highlight w:val="none"/>
              </w:rPr>
              <w:t>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88" w:hRule="atLeast"/>
          <w:jc w:val="center"/>
        </w:trPr>
        <w:tc>
          <w:tcPr>
            <w:tcW w:w="9524" w:type="dxa"/>
            <w:gridSpan w:val="12"/>
            <w:vAlign w:val="top"/>
          </w:tcPr>
          <w:p>
            <w:pPr>
              <w:keepNext w:val="0"/>
              <w:keepLines w:val="0"/>
              <w:suppressLineNumbers w:val="0"/>
              <w:spacing w:before="0" w:beforeLines="0" w:beforeAutospacing="0" w:after="0" w:afterLines="0" w:afterAutospacing="0" w:line="240" w:lineRule="atLeast"/>
              <w:ind w:left="0" w:right="0"/>
              <w:rPr>
                <w:rFonts w:hint="eastAsia" w:ascii="宋体" w:hAnsi="宋体" w:cs="宋体"/>
                <w:color w:val="auto"/>
                <w:sz w:val="15"/>
                <w:szCs w:val="15"/>
                <w:highlight w:val="none"/>
              </w:rPr>
            </w:pPr>
            <w:r>
              <w:rPr>
                <w:rFonts w:hint="eastAsia" w:ascii="宋体" w:hAnsi="宋体" w:eastAsia="宋体" w:cs="宋体"/>
                <w:color w:val="auto"/>
                <w:sz w:val="15"/>
                <w:szCs w:val="15"/>
                <w:highlight w:val="none"/>
                <w:lang w:val="en-US" w:eastAsia="zh-CN"/>
              </w:rPr>
              <w:t>不含税单价不因税率的变化而调整。</w:t>
            </w:r>
            <w:r>
              <w:rPr>
                <w:rFonts w:hint="eastAsia" w:ascii="宋体" w:hAnsi="宋体" w:cs="宋体"/>
                <w:color w:val="auto"/>
                <w:sz w:val="15"/>
                <w:szCs w:val="15"/>
                <w:highlight w:val="none"/>
              </w:rPr>
              <w:t>含税价格因国家税率变化而变化，若在合同履行期间，如遇国家的税率调整，则价税合计相应调整，以开具发票时间为准。</w:t>
            </w:r>
          </w:p>
        </w:tc>
      </w:tr>
    </w:tbl>
    <w:p>
      <w:pPr>
        <w:snapToGrid w:val="0"/>
        <w:spacing w:before="0" w:beforeLines="0" w:afterLines="0" w:line="240" w:lineRule="atLeast"/>
        <w:ind w:left="0" w:leftChars="0" w:firstLine="300" w:firstLineChars="200"/>
        <w:rPr>
          <w:rFonts w:hint="eastAsia" w:ascii="宋体" w:hAnsi="宋体" w:cs="宋体"/>
          <w:bCs/>
          <w:color w:val="auto"/>
          <w:sz w:val="15"/>
          <w:szCs w:val="15"/>
          <w:highlight w:val="none"/>
        </w:rPr>
      </w:pPr>
      <w:r>
        <w:rPr>
          <w:rFonts w:hint="eastAsia" w:ascii="宋体" w:hAnsi="宋体" w:cs="宋体"/>
          <w:color w:val="auto"/>
          <w:sz w:val="15"/>
          <w:szCs w:val="15"/>
          <w:highlight w:val="none"/>
        </w:rPr>
        <w:t>1.2本合同货物的总价款中包含合同约定及合同相关文件中列明的随货配送的备品备件和随同配有的文件、包装、保险、运输、装卸、安装调试、试验、售后服务、技术培训费用以及合同中虽未明确约定但可合理推知应由卖方承担的成本与费用，为卖方完全履行本合同所有义务后所应得的合同对价。</w:t>
      </w:r>
    </w:p>
    <w:p>
      <w:pPr>
        <w:tabs>
          <w:tab w:val="left" w:pos="3180"/>
        </w:tabs>
        <w:spacing w:before="0" w:beforeLines="0" w:afterLines="0" w:line="240" w:lineRule="atLeast"/>
        <w:ind w:left="0" w:leftChars="0" w:firstLine="300" w:firstLineChars="200"/>
        <w:rPr>
          <w:rFonts w:hint="eastAsia" w:ascii="宋体" w:hAnsi="宋体" w:cs="宋体"/>
          <w:b/>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3</w:t>
      </w:r>
      <w:r>
        <w:rPr>
          <w:rFonts w:hint="eastAsia" w:ascii="宋体" w:hAnsi="宋体" w:cs="宋体"/>
          <w:color w:val="auto"/>
          <w:sz w:val="15"/>
          <w:szCs w:val="15"/>
          <w:highlight w:val="none"/>
        </w:rPr>
        <w:t>货物随同配有的文件，包括但不限于技术资料（技术标准、说明、货物组装图等）、产品使用和维修说明书、</w:t>
      </w:r>
      <w:r>
        <w:rPr>
          <w:rStyle w:val="68"/>
          <w:rFonts w:hint="eastAsia" w:ascii="宋体" w:hAnsi="宋体" w:cs="宋体"/>
          <w:color w:val="auto"/>
          <w:sz w:val="15"/>
          <w:szCs w:val="15"/>
          <w:highlight w:val="none"/>
        </w:rPr>
        <w:t>产品合格证、</w:t>
      </w:r>
      <w:r>
        <w:rPr>
          <w:rFonts w:hint="eastAsia" w:ascii="宋体" w:hAnsi="宋体" w:cs="宋体"/>
          <w:color w:val="auto"/>
          <w:sz w:val="15"/>
          <w:szCs w:val="15"/>
          <w:highlight w:val="none"/>
        </w:rPr>
        <w:t>质量证明文件等，均为货物不可分割的一部分。</w:t>
      </w:r>
    </w:p>
    <w:p>
      <w:pPr>
        <w:tabs>
          <w:tab w:val="left" w:pos="3180"/>
        </w:tabs>
        <w:spacing w:before="0" w:beforeLines="0" w:afterLines="0" w:line="240" w:lineRule="atLeast"/>
        <w:ind w:left="0" w:leftChars="0"/>
        <w:outlineLvl w:val="0"/>
        <w:rPr>
          <w:rFonts w:hint="eastAsia" w:ascii="宋体" w:hAnsi="宋体" w:cs="宋体"/>
          <w:b/>
          <w:color w:val="auto"/>
          <w:sz w:val="15"/>
          <w:szCs w:val="15"/>
          <w:highlight w:val="none"/>
        </w:rPr>
      </w:pPr>
      <w:bookmarkStart w:id="166" w:name="_Toc15401"/>
      <w:r>
        <w:rPr>
          <w:rFonts w:hint="eastAsia" w:ascii="宋体" w:hAnsi="宋体" w:cs="宋体"/>
          <w:b/>
          <w:color w:val="auto"/>
          <w:sz w:val="15"/>
          <w:szCs w:val="15"/>
          <w:highlight w:val="none"/>
        </w:rPr>
        <w:t>2.技术与质量标准</w:t>
      </w:r>
      <w:bookmarkEnd w:id="166"/>
    </w:p>
    <w:p>
      <w:pPr>
        <w:tabs>
          <w:tab w:val="left" w:pos="3180"/>
        </w:tabs>
        <w:spacing w:before="0" w:beforeLines="0" w:afterLines="0" w:line="240" w:lineRule="atLeast"/>
        <w:ind w:left="0" w:leftChars="0" w:firstLine="300" w:firstLineChars="200"/>
        <w:rPr>
          <w:rStyle w:val="68"/>
          <w:rFonts w:hint="eastAsia" w:ascii="宋体" w:hAnsi="宋体" w:cs="宋体"/>
          <w:color w:val="auto"/>
          <w:sz w:val="15"/>
          <w:szCs w:val="15"/>
          <w:highlight w:val="none"/>
          <w:shd w:val="clear" w:color="auto" w:fill="FFFFFF"/>
        </w:rPr>
      </w:pPr>
      <w:r>
        <w:rPr>
          <w:rFonts w:hint="eastAsia" w:ascii="宋体" w:hAnsi="宋体" w:cs="宋体"/>
          <w:color w:val="auto"/>
          <w:sz w:val="15"/>
          <w:szCs w:val="15"/>
          <w:highlight w:val="none"/>
        </w:rPr>
        <w:t>2.1货物的性能、质量与技术要求等应</w:t>
      </w:r>
      <w:r>
        <w:rPr>
          <w:rStyle w:val="68"/>
          <w:rFonts w:hint="eastAsia" w:ascii="宋体" w:hAnsi="宋体" w:cs="宋体"/>
          <w:color w:val="auto"/>
          <w:sz w:val="15"/>
          <w:szCs w:val="15"/>
          <w:highlight w:val="none"/>
        </w:rPr>
        <w:t>符合</w:t>
      </w:r>
      <w:r>
        <w:rPr>
          <w:rStyle w:val="68"/>
          <w:rFonts w:hint="eastAsia" w:ascii="宋体" w:hAnsi="宋体" w:cs="宋体"/>
          <w:color w:val="auto"/>
          <w:sz w:val="15"/>
          <w:szCs w:val="15"/>
          <w:highlight w:val="none"/>
          <w:u w:val="none"/>
          <w:shd w:val="clear" w:color="auto" w:fill="FFFFFF"/>
          <w:lang w:eastAsia="zh-CN"/>
        </w:rPr>
        <w:t>双方确认的</w:t>
      </w:r>
      <w:r>
        <w:rPr>
          <w:rStyle w:val="68"/>
          <w:rFonts w:hint="eastAsia" w:ascii="宋体" w:hAnsi="宋体" w:cs="宋体"/>
          <w:color w:val="auto"/>
          <w:sz w:val="15"/>
          <w:szCs w:val="15"/>
          <w:highlight w:val="none"/>
          <w:shd w:val="clear" w:color="auto" w:fill="FFFFFF"/>
        </w:rPr>
        <w:t>技术协议</w:t>
      </w:r>
      <w:r>
        <w:rPr>
          <w:rStyle w:val="68"/>
          <w:rFonts w:hint="eastAsia" w:ascii="宋体" w:hAnsi="宋体" w:cs="宋体"/>
          <w:color w:val="auto"/>
          <w:sz w:val="15"/>
          <w:szCs w:val="15"/>
          <w:highlight w:val="none"/>
          <w:shd w:val="clear" w:color="auto" w:fill="FFFFFF"/>
          <w:lang w:val="en-US" w:eastAsia="zh-CN"/>
        </w:rPr>
        <w:t>/</w:t>
      </w:r>
      <w:r>
        <w:rPr>
          <w:rStyle w:val="68"/>
          <w:rFonts w:hint="eastAsia" w:ascii="宋体" w:hAnsi="宋体" w:cs="宋体"/>
          <w:color w:val="auto"/>
          <w:sz w:val="15"/>
          <w:szCs w:val="15"/>
          <w:highlight w:val="none"/>
          <w:shd w:val="clear" w:color="auto" w:fill="FFFFFF"/>
        </w:rPr>
        <w:t>供货技术条件</w:t>
      </w:r>
      <w:r>
        <w:rPr>
          <w:rStyle w:val="68"/>
          <w:rFonts w:hint="eastAsia" w:ascii="宋体" w:hAnsi="宋体" w:cs="宋体"/>
          <w:color w:val="auto"/>
          <w:sz w:val="15"/>
          <w:szCs w:val="15"/>
          <w:highlight w:val="none"/>
          <w:lang w:val="en-US" w:eastAsia="zh-CN"/>
        </w:rPr>
        <w:t>/</w:t>
      </w:r>
      <w:r>
        <w:rPr>
          <w:rStyle w:val="68"/>
          <w:rFonts w:hint="eastAsia" w:ascii="宋体" w:hAnsi="宋体" w:cs="宋体"/>
          <w:color w:val="auto"/>
          <w:sz w:val="15"/>
          <w:szCs w:val="15"/>
          <w:highlight w:val="none"/>
        </w:rPr>
        <w:t>经买方确认的图纸</w:t>
      </w:r>
      <w:r>
        <w:rPr>
          <w:rStyle w:val="68"/>
          <w:rFonts w:hint="eastAsia" w:ascii="宋体" w:hAnsi="宋体" w:cs="宋体"/>
          <w:color w:val="auto"/>
          <w:sz w:val="15"/>
          <w:szCs w:val="15"/>
          <w:highlight w:val="none"/>
          <w:lang w:val="en-US" w:eastAsia="zh-CN"/>
        </w:rPr>
        <w:t>/</w:t>
      </w:r>
      <w:r>
        <w:rPr>
          <w:rStyle w:val="68"/>
          <w:rFonts w:hint="eastAsia" w:ascii="宋体" w:hAnsi="宋体" w:cs="宋体"/>
          <w:color w:val="auto"/>
          <w:sz w:val="15"/>
          <w:szCs w:val="15"/>
          <w:highlight w:val="none"/>
        </w:rPr>
        <w:t>经双方确认的样品</w:t>
      </w:r>
      <w:r>
        <w:rPr>
          <w:rStyle w:val="68"/>
          <w:rFonts w:hint="eastAsia" w:ascii="宋体" w:hAnsi="宋体" w:cs="宋体"/>
          <w:color w:val="auto"/>
          <w:sz w:val="15"/>
          <w:szCs w:val="15"/>
          <w:highlight w:val="none"/>
          <w:lang w:eastAsia="zh-CN"/>
        </w:rPr>
        <w:t>以及相关</w:t>
      </w:r>
      <w:r>
        <w:rPr>
          <w:rStyle w:val="68"/>
          <w:rFonts w:hint="eastAsia" w:ascii="宋体" w:hAnsi="宋体" w:cs="宋体"/>
          <w:color w:val="auto"/>
          <w:sz w:val="15"/>
          <w:szCs w:val="15"/>
          <w:highlight w:val="none"/>
        </w:rPr>
        <w:t>国家标准</w:t>
      </w:r>
      <w:r>
        <w:rPr>
          <w:rStyle w:val="68"/>
          <w:rFonts w:hint="eastAsia" w:ascii="宋体" w:hAnsi="宋体" w:cs="宋体"/>
          <w:color w:val="auto"/>
          <w:sz w:val="15"/>
          <w:szCs w:val="15"/>
          <w:highlight w:val="none"/>
          <w:lang w:eastAsia="zh-CN"/>
        </w:rPr>
        <w:t>、</w:t>
      </w:r>
      <w:r>
        <w:rPr>
          <w:rStyle w:val="68"/>
          <w:rFonts w:hint="eastAsia" w:ascii="宋体" w:hAnsi="宋体" w:cs="宋体"/>
          <w:color w:val="auto"/>
          <w:sz w:val="15"/>
          <w:szCs w:val="15"/>
          <w:highlight w:val="none"/>
        </w:rPr>
        <w:t>国际标准</w:t>
      </w:r>
      <w:r>
        <w:rPr>
          <w:rStyle w:val="68"/>
          <w:rFonts w:hint="eastAsia" w:ascii="宋体" w:hAnsi="宋体" w:cs="宋体"/>
          <w:color w:val="auto"/>
          <w:sz w:val="15"/>
          <w:szCs w:val="15"/>
          <w:highlight w:val="none"/>
          <w:u w:val="none"/>
          <w:shd w:val="clear" w:color="auto" w:fill="FFFFFF"/>
          <w:lang w:eastAsia="zh-CN"/>
        </w:rPr>
        <w:t>，</w:t>
      </w:r>
      <w:r>
        <w:rPr>
          <w:rStyle w:val="68"/>
          <w:rFonts w:hint="eastAsia" w:ascii="宋体" w:hAnsi="宋体" w:cs="宋体"/>
          <w:b/>
          <w:bCs/>
          <w:color w:val="auto"/>
          <w:sz w:val="15"/>
          <w:szCs w:val="15"/>
          <w:highlight w:val="none"/>
          <w:u w:val="none"/>
          <w:shd w:val="clear" w:color="auto" w:fill="FFFFFF"/>
          <w:lang w:eastAsia="zh-CN"/>
        </w:rPr>
        <w:t>并提供出厂检验报告。</w:t>
      </w:r>
    </w:p>
    <w:p>
      <w:pPr>
        <w:tabs>
          <w:tab w:val="left" w:pos="3180"/>
        </w:tabs>
        <w:spacing w:before="0" w:beforeLines="0" w:afterLines="0" w:line="240" w:lineRule="atLeast"/>
        <w:ind w:left="0" w:leftChars="0" w:firstLine="300" w:firstLineChars="200"/>
        <w:rPr>
          <w:rStyle w:val="68"/>
          <w:rFonts w:hint="eastAsia" w:ascii="宋体" w:hAnsi="宋体" w:cs="宋体"/>
          <w:color w:val="auto"/>
          <w:sz w:val="15"/>
          <w:szCs w:val="15"/>
          <w:highlight w:val="none"/>
          <w:shd w:val="clear" w:color="auto" w:fill="FFFFFF"/>
        </w:rPr>
      </w:pPr>
      <w:r>
        <w:rPr>
          <w:rFonts w:hint="eastAsia" w:ascii="宋体" w:hAnsi="宋体" w:cs="宋体"/>
          <w:color w:val="auto"/>
          <w:sz w:val="15"/>
          <w:szCs w:val="15"/>
          <w:highlight w:val="none"/>
        </w:rPr>
        <w:t>上述质量标准连同</w:t>
      </w:r>
      <w:r>
        <w:rPr>
          <w:rFonts w:hint="eastAsia" w:ascii="宋体" w:hAnsi="宋体" w:cs="宋体"/>
          <w:color w:val="auto"/>
          <w:sz w:val="15"/>
          <w:szCs w:val="15"/>
          <w:highlight w:val="none"/>
          <w:lang w:eastAsia="zh-CN"/>
        </w:rPr>
        <w:t>使用</w:t>
      </w:r>
      <w:r>
        <w:rPr>
          <w:rFonts w:hint="eastAsia" w:ascii="宋体" w:hAnsi="宋体" w:cs="宋体"/>
          <w:color w:val="auto"/>
          <w:sz w:val="15"/>
          <w:szCs w:val="15"/>
          <w:highlight w:val="none"/>
          <w:lang w:val="en-US" w:eastAsia="zh-CN"/>
        </w:rPr>
        <w:t>/</w:t>
      </w:r>
      <w:r>
        <w:rPr>
          <w:rFonts w:hint="eastAsia" w:ascii="宋体" w:hAnsi="宋体" w:cs="宋体"/>
          <w:color w:val="auto"/>
          <w:sz w:val="15"/>
          <w:szCs w:val="15"/>
          <w:highlight w:val="none"/>
          <w:lang w:eastAsia="zh-CN"/>
        </w:rPr>
        <w:t>安装</w:t>
      </w:r>
      <w:r>
        <w:rPr>
          <w:rFonts w:hint="eastAsia" w:ascii="宋体" w:hAnsi="宋体" w:cs="宋体"/>
          <w:color w:val="auto"/>
          <w:sz w:val="15"/>
          <w:szCs w:val="15"/>
          <w:highlight w:val="none"/>
          <w:lang w:val="en-US" w:eastAsia="zh-CN"/>
        </w:rPr>
        <w:t>货物的</w:t>
      </w:r>
      <w:r>
        <w:rPr>
          <w:rFonts w:hint="eastAsia" w:ascii="宋体" w:hAnsi="宋体" w:cs="宋体"/>
          <w:color w:val="auto"/>
          <w:sz w:val="15"/>
          <w:szCs w:val="15"/>
          <w:highlight w:val="none"/>
          <w:lang w:eastAsia="zh-CN"/>
        </w:rPr>
        <w:t>买方产品</w:t>
      </w:r>
      <w:r>
        <w:rPr>
          <w:rFonts w:hint="eastAsia" w:ascii="宋体" w:hAnsi="宋体" w:cs="宋体"/>
          <w:color w:val="auto"/>
          <w:sz w:val="15"/>
          <w:szCs w:val="15"/>
          <w:highlight w:val="none"/>
        </w:rPr>
        <w:t>采购方/使用方(以下简称“用户”)的相关要求，一并作为货物验收标准。</w:t>
      </w:r>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2.2货物及其包装应是安全、环保的，在装卸、储存、搬运或使用过程中不会损害人身健康与环境。若存在或可能存在前述损害，卖方应以书面通知买方该等损害的性质、情况及应采取的预防措施。</w:t>
      </w:r>
    </w:p>
    <w:p>
      <w:pPr>
        <w:tabs>
          <w:tab w:val="left" w:pos="3180"/>
        </w:tabs>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2.3已经在买方报备的卖方产品，卖方变更生产场所、原材料、零部件的型号、规格、供货厂家、检验标准、产品制造工艺、交检交验标准等，均应事先提出书面申请并得到买方认可，否则不得变更。</w:t>
      </w:r>
    </w:p>
    <w:p>
      <w:pPr>
        <w:tabs>
          <w:tab w:val="left" w:pos="3180"/>
        </w:tabs>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2.4在货物安装、拆卸、使用、维护保养、检测、维修等过程中，卖方应向买方提供技术指导及协助等方面的支持，并指派合格人员对买方人员进行相应培训。</w:t>
      </w:r>
    </w:p>
    <w:p>
      <w:pPr>
        <w:tabs>
          <w:tab w:val="left" w:pos="3180"/>
        </w:tabs>
        <w:spacing w:before="0" w:beforeLines="0" w:afterLines="0" w:line="240" w:lineRule="atLeast"/>
        <w:ind w:left="0" w:leftChars="0"/>
        <w:outlineLvl w:val="0"/>
        <w:rPr>
          <w:rFonts w:hint="eastAsia" w:ascii="宋体" w:hAnsi="宋体" w:cs="宋体"/>
          <w:color w:val="auto"/>
          <w:sz w:val="15"/>
          <w:szCs w:val="15"/>
          <w:highlight w:val="none"/>
        </w:rPr>
      </w:pPr>
      <w:bookmarkStart w:id="167" w:name="_Toc32058"/>
      <w:r>
        <w:rPr>
          <w:rFonts w:hint="eastAsia" w:ascii="宋体" w:hAnsi="宋体" w:cs="宋体"/>
          <w:b/>
          <w:color w:val="auto"/>
          <w:sz w:val="15"/>
          <w:szCs w:val="15"/>
          <w:highlight w:val="none"/>
        </w:rPr>
        <w:t>3.包装、运输及交货</w:t>
      </w:r>
      <w:bookmarkEnd w:id="167"/>
    </w:p>
    <w:p>
      <w:pPr>
        <w:tabs>
          <w:tab w:val="left" w:pos="3180"/>
        </w:tabs>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3.1交货时间</w:t>
      </w:r>
      <w:r>
        <w:rPr>
          <w:rFonts w:hint="eastAsia" w:ascii="宋体" w:hAnsi="宋体" w:cs="宋体"/>
          <w:color w:val="auto"/>
          <w:sz w:val="15"/>
          <w:szCs w:val="15"/>
          <w:highlight w:val="none"/>
          <w:lang w:val="en-US" w:eastAsia="zh-CN"/>
        </w:rPr>
        <w:t>:</w:t>
      </w:r>
      <w:r>
        <w:rPr>
          <w:rFonts w:hint="eastAsia" w:ascii="宋体" w:hAnsi="宋体" w:cs="宋体"/>
          <w:color w:val="auto"/>
          <w:sz w:val="15"/>
          <w:szCs w:val="15"/>
          <w:highlight w:val="none"/>
        </w:rPr>
        <w:t>卖方应按</w:t>
      </w:r>
      <w:r>
        <w:rPr>
          <w:rFonts w:hint="eastAsia" w:ascii="宋体" w:hAnsi="宋体" w:cs="宋体"/>
          <w:color w:val="auto"/>
          <w:sz w:val="15"/>
          <w:szCs w:val="15"/>
          <w:highlight w:val="none"/>
          <w:lang w:eastAsia="zh-CN"/>
        </w:rPr>
        <w:t>本合同供货清单</w:t>
      </w:r>
      <w:r>
        <w:rPr>
          <w:rFonts w:hint="eastAsia" w:ascii="宋体" w:hAnsi="宋体" w:cs="宋体"/>
          <w:color w:val="auto"/>
          <w:sz w:val="15"/>
          <w:szCs w:val="15"/>
          <w:highlight w:val="none"/>
        </w:rPr>
        <w:t>的</w:t>
      </w:r>
      <w:r>
        <w:rPr>
          <w:rFonts w:hint="eastAsia" w:ascii="宋体" w:hAnsi="宋体" w:cs="宋体"/>
          <w:color w:val="auto"/>
          <w:sz w:val="15"/>
          <w:szCs w:val="15"/>
          <w:highlight w:val="none"/>
          <w:lang w:eastAsia="zh-CN"/>
        </w:rPr>
        <w:t>交期</w:t>
      </w:r>
      <w:r>
        <w:rPr>
          <w:rFonts w:hint="eastAsia" w:ascii="宋体" w:hAnsi="宋体" w:cs="宋体"/>
          <w:color w:val="auto"/>
          <w:sz w:val="15"/>
          <w:szCs w:val="15"/>
          <w:highlight w:val="none"/>
        </w:rPr>
        <w:t>要求交付货物。</w:t>
      </w:r>
    </w:p>
    <w:p>
      <w:pPr>
        <w:tabs>
          <w:tab w:val="left" w:pos="3180"/>
        </w:tabs>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3.2交货地点：</w:t>
      </w:r>
      <w:r>
        <w:rPr>
          <w:rFonts w:hint="eastAsia" w:ascii="宋体" w:hAnsi="宋体" w:cs="宋体"/>
          <w:color w:val="auto"/>
          <w:sz w:val="15"/>
          <w:szCs w:val="15"/>
          <w:highlight w:val="none"/>
          <w:lang w:eastAsia="zh-CN"/>
        </w:rPr>
        <w:t>河北</w:t>
      </w:r>
      <w:r>
        <w:rPr>
          <w:rFonts w:hint="eastAsia" w:ascii="宋体" w:hAnsi="宋体" w:cs="宋体"/>
          <w:color w:val="auto"/>
          <w:sz w:val="15"/>
          <w:szCs w:val="15"/>
          <w:highlight w:val="none"/>
        </w:rPr>
        <w:t>省</w:t>
      </w:r>
      <w:r>
        <w:rPr>
          <w:rFonts w:hint="eastAsia" w:ascii="宋体" w:hAnsi="宋体" w:cs="宋体"/>
          <w:color w:val="auto"/>
          <w:sz w:val="15"/>
          <w:szCs w:val="15"/>
          <w:highlight w:val="none"/>
          <w:lang w:eastAsia="zh-CN"/>
        </w:rPr>
        <w:t>石家庄</w:t>
      </w:r>
      <w:r>
        <w:rPr>
          <w:rFonts w:hint="eastAsia" w:ascii="宋体" w:hAnsi="宋体" w:cs="宋体"/>
          <w:color w:val="auto"/>
          <w:sz w:val="15"/>
          <w:szCs w:val="15"/>
          <w:highlight w:val="none"/>
        </w:rPr>
        <w:t>市</w:t>
      </w:r>
      <w:r>
        <w:rPr>
          <w:rFonts w:hint="eastAsia" w:ascii="宋体" w:hAnsi="宋体" w:cs="宋体"/>
          <w:color w:val="auto"/>
          <w:sz w:val="15"/>
          <w:szCs w:val="15"/>
          <w:highlight w:val="none"/>
          <w:lang w:eastAsia="zh-CN"/>
        </w:rPr>
        <w:t>高新</w:t>
      </w:r>
      <w:r>
        <w:rPr>
          <w:rFonts w:hint="eastAsia" w:ascii="宋体" w:hAnsi="宋体" w:cs="宋体"/>
          <w:color w:val="auto"/>
          <w:sz w:val="15"/>
          <w:szCs w:val="15"/>
          <w:highlight w:val="none"/>
        </w:rPr>
        <w:t>区</w:t>
      </w:r>
      <w:r>
        <w:rPr>
          <w:rFonts w:hint="eastAsia" w:ascii="宋体" w:hAnsi="宋体" w:cs="宋体"/>
          <w:color w:val="auto"/>
          <w:sz w:val="15"/>
          <w:szCs w:val="15"/>
          <w:highlight w:val="none"/>
          <w:lang w:eastAsia="zh-CN"/>
        </w:rPr>
        <w:t>裕华东路</w:t>
      </w:r>
      <w:r>
        <w:rPr>
          <w:rFonts w:hint="eastAsia" w:ascii="宋体" w:hAnsi="宋体" w:cs="宋体"/>
          <w:color w:val="auto"/>
          <w:sz w:val="15"/>
          <w:szCs w:val="15"/>
          <w:highlight w:val="none"/>
          <w:lang w:val="en-US" w:eastAsia="zh-CN"/>
        </w:rPr>
        <w:t>375</w:t>
      </w:r>
      <w:r>
        <w:rPr>
          <w:rFonts w:hint="eastAsia" w:ascii="宋体" w:hAnsi="宋体" w:cs="宋体"/>
          <w:color w:val="auto"/>
          <w:sz w:val="15"/>
          <w:szCs w:val="15"/>
          <w:highlight w:val="none"/>
        </w:rPr>
        <w:t>号买方指定区域。</w:t>
      </w:r>
    </w:p>
    <w:p>
      <w:pPr>
        <w:tabs>
          <w:tab w:val="left" w:pos="3180"/>
        </w:tabs>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3.3货物由卖方运送至合同约定地点，货物交付买方前的运费、损耗及损毁风险由卖方承担。</w:t>
      </w:r>
    </w:p>
    <w:p>
      <w:pPr>
        <w:tabs>
          <w:tab w:val="left" w:pos="3180"/>
        </w:tabs>
        <w:spacing w:before="0" w:beforeLines="0" w:afterLines="0" w:line="240" w:lineRule="atLeast"/>
        <w:ind w:firstLine="300" w:firstLineChars="200"/>
        <w:outlineLvl w:val="1"/>
        <w:rPr>
          <w:rFonts w:hint="eastAsia" w:ascii="宋体" w:hAnsi="宋体" w:cs="宋体"/>
          <w:color w:val="auto"/>
          <w:sz w:val="15"/>
          <w:szCs w:val="15"/>
          <w:highlight w:val="none"/>
        </w:rPr>
      </w:pPr>
      <w:r>
        <w:rPr>
          <w:rFonts w:hint="eastAsia" w:ascii="宋体" w:hAnsi="宋体" w:cs="宋体"/>
          <w:color w:val="auto"/>
          <w:sz w:val="15"/>
          <w:szCs w:val="15"/>
          <w:highlight w:val="none"/>
        </w:rPr>
        <w:t>3.4卖方应根据货物情况采取适合运输与存储的包装或其他必要的保护措施，满足因搬运、装卸、腾挪以及与所选择的运输方式、设施、设备、环境相适应的安全、便利需要。</w:t>
      </w:r>
    </w:p>
    <w:p>
      <w:pPr>
        <w:tabs>
          <w:tab w:val="left" w:pos="3180"/>
        </w:tabs>
        <w:spacing w:before="0" w:beforeLines="0" w:afterLines="0" w:line="240" w:lineRule="atLeast"/>
        <w:ind w:left="0" w:leftChars="0"/>
        <w:outlineLvl w:val="0"/>
        <w:rPr>
          <w:rFonts w:hint="eastAsia" w:ascii="宋体" w:hAnsi="宋体" w:cs="宋体"/>
          <w:color w:val="auto"/>
          <w:sz w:val="15"/>
          <w:szCs w:val="15"/>
          <w:highlight w:val="none"/>
        </w:rPr>
      </w:pPr>
      <w:bookmarkStart w:id="168" w:name="_Toc19029"/>
      <w:r>
        <w:rPr>
          <w:rFonts w:hint="eastAsia" w:ascii="宋体" w:hAnsi="宋体" w:cs="宋体"/>
          <w:b/>
          <w:color w:val="auto"/>
          <w:sz w:val="15"/>
          <w:szCs w:val="15"/>
          <w:highlight w:val="none"/>
        </w:rPr>
        <w:t>4.货物的查验与验收</w:t>
      </w:r>
      <w:bookmarkEnd w:id="168"/>
    </w:p>
    <w:p>
      <w:pPr>
        <w:tabs>
          <w:tab w:val="left" w:pos="3180"/>
        </w:tabs>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4.1货物运抵交货地点后，由双方共同清点查验，之后由买方以抽检、检测、例行检查、联调测试、运行试验等方式进行检验，若无质量问题视为货物通过验收，双方办理验收事宜。若经查验和检验，发现货物存在任何不符合本合同约定的情形，则卖方应在</w:t>
      </w:r>
      <w:r>
        <w:rPr>
          <w:rFonts w:hint="eastAsia" w:ascii="宋体" w:hAnsi="宋体" w:cs="宋体"/>
          <w:color w:val="auto"/>
          <w:sz w:val="15"/>
          <w:szCs w:val="15"/>
          <w:highlight w:val="none"/>
          <w:lang w:val="en-US" w:eastAsia="zh-CN"/>
        </w:rPr>
        <w:t>15</w:t>
      </w:r>
      <w:r>
        <w:rPr>
          <w:rFonts w:hint="eastAsia" w:ascii="宋体" w:hAnsi="宋体" w:cs="宋体"/>
          <w:color w:val="auto"/>
          <w:sz w:val="15"/>
          <w:szCs w:val="15"/>
          <w:highlight w:val="none"/>
        </w:rPr>
        <w:t>日内或买方要求的时间内自费补足、修复或更换。若货物经修复或更换仍不符合本合同约定，买方可视情况选择退货或降价处理。在质量保证期内，若货物出现质量问题，仍然按照前述原则执行。</w:t>
      </w:r>
    </w:p>
    <w:p>
      <w:pPr>
        <w:tabs>
          <w:tab w:val="left" w:pos="3180"/>
        </w:tabs>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若货物存在补足、修复或更换的情形，卖方补足、修复或更换所用的时间将被累加到对应货物的实际交付日期，经累加后的日期视为对应货物的卖方实际交付日期。</w:t>
      </w:r>
    </w:p>
    <w:p>
      <w:pPr>
        <w:tabs>
          <w:tab w:val="left" w:pos="3180"/>
        </w:tabs>
        <w:spacing w:before="0" w:beforeLines="0" w:afterLines="0" w:line="240" w:lineRule="atLeast"/>
        <w:ind w:firstLine="300" w:firstLineChars="200"/>
        <w:rPr>
          <w:rFonts w:hint="eastAsia" w:ascii="宋体" w:hAnsi="宋体" w:cs="宋体"/>
          <w:color w:val="auto"/>
          <w:sz w:val="15"/>
          <w:szCs w:val="15"/>
          <w:highlight w:val="none"/>
        </w:rPr>
      </w:pPr>
      <w:r>
        <w:rPr>
          <w:rStyle w:val="68"/>
          <w:rFonts w:hint="eastAsia" w:ascii="宋体" w:hAnsi="宋体" w:cs="宋体"/>
          <w:color w:val="auto"/>
          <w:sz w:val="15"/>
          <w:szCs w:val="15"/>
          <w:highlight w:val="none"/>
          <w:shd w:val="clear" w:color="auto" w:fill="FFFFFF"/>
        </w:rPr>
        <w:t>4</w:t>
      </w:r>
      <w:r>
        <w:rPr>
          <w:rFonts w:hint="eastAsia" w:ascii="宋体" w:hAnsi="宋体" w:cs="宋体"/>
          <w:color w:val="auto"/>
          <w:sz w:val="15"/>
          <w:szCs w:val="15"/>
          <w:highlight w:val="none"/>
        </w:rPr>
        <w:t>.2买方有权在卖方（含卖方的二级供应商）生产现场，随机选取货物的半成品、成品进行解剖验证，卖方应积极配合。</w:t>
      </w:r>
    </w:p>
    <w:p>
      <w:pPr>
        <w:snapToGrid w:val="0"/>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若经解剖验证不合格，买方有权要求卖方整改，且该次解剖验证的相关费用由卖方承担。对于前期已交付的不合格品，卖方应立即安排修复或更换。若经买方评估对买方产品运营造成安全隐患的，卖方须配合买方对已安装的货物进行处置，并由卖方承担由此造成的损失。</w:t>
      </w:r>
    </w:p>
    <w:p>
      <w:pPr>
        <w:snapToGrid w:val="0"/>
        <w:spacing w:before="0" w:beforeLines="0" w:afterLines="0" w:line="240" w:lineRule="atLeast"/>
        <w:ind w:left="0" w:leftChars="0" w:firstLine="300" w:firstLineChars="200"/>
        <w:outlineLvl w:val="9"/>
        <w:rPr>
          <w:rFonts w:hint="eastAsia" w:ascii="宋体" w:hAnsi="宋体" w:cs="宋体"/>
          <w:b/>
          <w:color w:val="auto"/>
          <w:sz w:val="15"/>
          <w:szCs w:val="15"/>
          <w:highlight w:val="none"/>
        </w:rPr>
      </w:pPr>
      <w:r>
        <w:rPr>
          <w:rFonts w:hint="eastAsia" w:ascii="宋体" w:hAnsi="宋体" w:cs="宋体"/>
          <w:color w:val="auto"/>
          <w:sz w:val="15"/>
          <w:szCs w:val="15"/>
          <w:highlight w:val="none"/>
        </w:rPr>
        <w:t>4.3若货物为新产品，则货物在</w:t>
      </w:r>
      <w:r>
        <w:rPr>
          <w:rFonts w:hint="eastAsia" w:ascii="宋体" w:hAnsi="宋体" w:cs="宋体"/>
          <w:color w:val="auto"/>
          <w:sz w:val="15"/>
          <w:szCs w:val="15"/>
          <w:highlight w:val="none"/>
          <w:lang w:val="de-DE"/>
        </w:rPr>
        <w:t>批量投产前应进行首件检验（FAI）。</w:t>
      </w:r>
      <w:r>
        <w:rPr>
          <w:rFonts w:hint="eastAsia" w:ascii="宋体" w:hAnsi="宋体" w:cs="宋体"/>
          <w:color w:val="auto"/>
          <w:sz w:val="15"/>
          <w:szCs w:val="15"/>
          <w:highlight w:val="none"/>
        </w:rPr>
        <w:t>卖方应按计划组织买方共同进行货物首件检验，未</w:t>
      </w:r>
      <w:r>
        <w:rPr>
          <w:rFonts w:hint="eastAsia" w:ascii="宋体" w:hAnsi="宋体" w:cs="宋体"/>
          <w:color w:val="auto"/>
          <w:sz w:val="15"/>
          <w:szCs w:val="15"/>
          <w:highlight w:val="none"/>
          <w:lang w:val="de-DE"/>
        </w:rPr>
        <w:t>经首检即批量投产或发运的货物买方有权拒收。</w:t>
      </w:r>
      <w:bookmarkStart w:id="169" w:name="_Toc19167"/>
    </w:p>
    <w:p>
      <w:pPr>
        <w:spacing w:before="0" w:beforeLines="0" w:afterLines="0" w:line="240" w:lineRule="atLeast"/>
        <w:ind w:left="0" w:leftChars="0"/>
        <w:outlineLvl w:val="0"/>
        <w:rPr>
          <w:rFonts w:hint="eastAsia" w:ascii="宋体" w:hAnsi="宋体" w:cs="宋体"/>
          <w:b/>
          <w:color w:val="auto"/>
          <w:sz w:val="15"/>
          <w:szCs w:val="15"/>
          <w:highlight w:val="none"/>
        </w:rPr>
      </w:pPr>
      <w:r>
        <w:rPr>
          <w:rFonts w:hint="eastAsia" w:ascii="宋体" w:hAnsi="宋体" w:cs="宋体"/>
          <w:b/>
          <w:color w:val="auto"/>
          <w:sz w:val="15"/>
          <w:szCs w:val="15"/>
          <w:highlight w:val="none"/>
        </w:rPr>
        <w:t>5.付款与保函</w:t>
      </w:r>
      <w:bookmarkEnd w:id="169"/>
    </w:p>
    <w:p>
      <w:pPr>
        <w:tabs>
          <w:tab w:val="left" w:pos="3180"/>
        </w:tabs>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5.1合同生效后，买方按以下阶段向卖方支付合同价款：</w:t>
      </w:r>
    </w:p>
    <w:p>
      <w:pPr>
        <w:snapToGrid w:val="0"/>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5.1.</w:t>
      </w:r>
      <w:r>
        <w:rPr>
          <w:rFonts w:hint="eastAsia" w:ascii="宋体" w:hAnsi="宋体" w:cs="宋体"/>
          <w:color w:val="auto"/>
          <w:sz w:val="15"/>
          <w:szCs w:val="15"/>
          <w:highlight w:val="none"/>
          <w:lang w:val="en-US" w:eastAsia="zh-CN"/>
        </w:rPr>
        <w:t>1</w:t>
      </w:r>
      <w:r>
        <w:rPr>
          <w:rFonts w:hint="eastAsia" w:ascii="宋体" w:hAnsi="宋体" w:cs="宋体"/>
          <w:color w:val="auto"/>
          <w:sz w:val="15"/>
          <w:szCs w:val="15"/>
          <w:highlight w:val="none"/>
        </w:rPr>
        <w:t>卖方完成交货且通过买方验收后</w:t>
      </w:r>
      <w:r>
        <w:rPr>
          <w:rFonts w:hint="eastAsia" w:ascii="宋体" w:hAnsi="宋体" w:cs="宋体"/>
          <w:color w:val="auto"/>
          <w:sz w:val="15"/>
          <w:szCs w:val="15"/>
          <w:highlight w:val="none"/>
          <w:lang w:val="en-US" w:eastAsia="zh-CN"/>
        </w:rPr>
        <w:t>30</w:t>
      </w:r>
      <w:r>
        <w:rPr>
          <w:rFonts w:hint="eastAsia" w:ascii="宋体" w:hAnsi="宋体" w:cs="宋体"/>
          <w:color w:val="auto"/>
          <w:sz w:val="15"/>
          <w:szCs w:val="15"/>
          <w:highlight w:val="none"/>
        </w:rPr>
        <w:t>日内卖方应向买方开具合同总价款100%的增值税发票，买方收到</w:t>
      </w:r>
      <w:r>
        <w:rPr>
          <w:rFonts w:hint="eastAsia" w:ascii="宋体" w:hAnsi="宋体" w:cs="宋体"/>
          <w:color w:val="auto"/>
          <w:sz w:val="15"/>
          <w:szCs w:val="15"/>
          <w:highlight w:val="none"/>
          <w:lang w:val="en-US" w:eastAsia="zh-CN"/>
        </w:rPr>
        <w:t>卖</w:t>
      </w:r>
      <w:r>
        <w:rPr>
          <w:rFonts w:hint="eastAsia" w:ascii="宋体" w:hAnsi="宋体" w:cs="宋体"/>
          <w:color w:val="auto"/>
          <w:sz w:val="15"/>
          <w:szCs w:val="15"/>
          <w:highlight w:val="none"/>
        </w:rPr>
        <w:t>方发票并对交货、验收记录/单据审核无误后</w:t>
      </w:r>
      <w:r>
        <w:rPr>
          <w:rFonts w:hint="eastAsia" w:ascii="宋体" w:hAnsi="宋体" w:cs="宋体"/>
          <w:color w:val="auto"/>
          <w:sz w:val="15"/>
          <w:szCs w:val="15"/>
          <w:highlight w:val="none"/>
          <w:lang w:val="en-US" w:eastAsia="zh-CN"/>
        </w:rPr>
        <w:t>180</w:t>
      </w:r>
      <w:r>
        <w:rPr>
          <w:rFonts w:hint="eastAsia" w:ascii="宋体" w:hAnsi="宋体" w:cs="宋体"/>
          <w:color w:val="auto"/>
          <w:sz w:val="15"/>
          <w:szCs w:val="15"/>
          <w:highlight w:val="none"/>
        </w:rPr>
        <w:t>日以</w:t>
      </w:r>
      <w:r>
        <w:rPr>
          <w:rFonts w:hint="eastAsia" w:ascii="宋体" w:hAnsi="宋体" w:cs="宋体"/>
          <w:color w:val="auto"/>
          <w:sz w:val="15"/>
          <w:szCs w:val="15"/>
          <w:highlight w:val="none"/>
          <w:lang w:eastAsia="zh-CN"/>
        </w:rPr>
        <w:t>商业承兑汇票</w:t>
      </w:r>
      <w:r>
        <w:rPr>
          <w:rFonts w:hint="eastAsia" w:ascii="宋体" w:hAnsi="宋体" w:cs="宋体"/>
          <w:color w:val="auto"/>
          <w:sz w:val="15"/>
          <w:szCs w:val="15"/>
          <w:highlight w:val="none"/>
        </w:rPr>
        <w:t>方式向卖方支付当批报酬总额的</w:t>
      </w:r>
      <w:r>
        <w:rPr>
          <w:rFonts w:hint="eastAsia" w:ascii="宋体" w:hAnsi="宋体" w:cs="宋体"/>
          <w:color w:val="auto"/>
          <w:sz w:val="15"/>
          <w:szCs w:val="15"/>
          <w:highlight w:val="none"/>
          <w:lang w:val="en-US" w:eastAsia="zh-CN"/>
        </w:rPr>
        <w:t>95</w:t>
      </w:r>
      <w:r>
        <w:rPr>
          <w:rFonts w:hint="eastAsia" w:ascii="宋体" w:hAnsi="宋体" w:cs="宋体"/>
          <w:color w:val="auto"/>
          <w:sz w:val="15"/>
          <w:szCs w:val="15"/>
          <w:highlight w:val="none"/>
        </w:rPr>
        <w:t>%。</w:t>
      </w:r>
    </w:p>
    <w:p>
      <w:pPr>
        <w:tabs>
          <w:tab w:val="left" w:pos="3180"/>
        </w:tabs>
        <w:spacing w:before="0" w:beforeLines="0" w:afterLines="0" w:line="240" w:lineRule="atLeast"/>
        <w:ind w:firstLine="300" w:firstLineChars="200"/>
        <w:outlineLvl w:val="1"/>
        <w:rPr>
          <w:rFonts w:hint="eastAsia" w:ascii="宋体" w:hAnsi="宋体" w:cs="宋体"/>
          <w:color w:val="auto"/>
          <w:sz w:val="15"/>
          <w:szCs w:val="15"/>
          <w:highlight w:val="none"/>
        </w:rPr>
      </w:pPr>
      <w:r>
        <w:rPr>
          <w:rFonts w:hint="eastAsia" w:ascii="宋体" w:hAnsi="宋体" w:cs="宋体"/>
          <w:color w:val="auto"/>
          <w:sz w:val="15"/>
          <w:szCs w:val="15"/>
          <w:highlight w:val="none"/>
        </w:rPr>
        <w:t>合同总价款的</w:t>
      </w:r>
      <w:r>
        <w:rPr>
          <w:rFonts w:hint="eastAsia" w:ascii="宋体" w:hAnsi="宋体" w:cs="宋体"/>
          <w:color w:val="auto"/>
          <w:sz w:val="15"/>
          <w:szCs w:val="15"/>
          <w:highlight w:val="none"/>
          <w:lang w:val="en-US" w:eastAsia="zh-CN"/>
        </w:rPr>
        <w:t>5</w:t>
      </w:r>
      <w:r>
        <w:rPr>
          <w:rFonts w:hint="eastAsia" w:ascii="宋体" w:hAnsi="宋体" w:cs="宋体"/>
          <w:color w:val="auto"/>
          <w:sz w:val="15"/>
          <w:szCs w:val="15"/>
          <w:highlight w:val="none"/>
        </w:rPr>
        <w:t>%将作为卖方的质量保证金。若在质量保证期内未发生因卖方质量责任而被扣除的情形或已发生卖方质量责任的情形经扣除仍有剩余，买方应在质量保证期届满后</w:t>
      </w:r>
      <w:r>
        <w:rPr>
          <w:rFonts w:hint="eastAsia" w:ascii="宋体" w:hAnsi="宋体" w:cs="宋体"/>
          <w:color w:val="auto"/>
          <w:sz w:val="15"/>
          <w:szCs w:val="15"/>
          <w:highlight w:val="none"/>
          <w:lang w:eastAsia="zh-CN"/>
        </w:rPr>
        <w:t>3</w:t>
      </w:r>
      <w:r>
        <w:rPr>
          <w:rFonts w:hint="eastAsia" w:ascii="宋体" w:hAnsi="宋体" w:cs="宋体"/>
          <w:color w:val="auto"/>
          <w:sz w:val="15"/>
          <w:szCs w:val="15"/>
          <w:highlight w:val="none"/>
          <w:lang w:val="en-US" w:eastAsia="zh-CN"/>
        </w:rPr>
        <w:t>0</w:t>
      </w:r>
      <w:r>
        <w:rPr>
          <w:rFonts w:hint="eastAsia" w:ascii="宋体" w:hAnsi="宋体" w:cs="宋体"/>
          <w:color w:val="auto"/>
          <w:sz w:val="15"/>
          <w:szCs w:val="15"/>
          <w:highlight w:val="none"/>
        </w:rPr>
        <w:t>日内将扣除相应费用（如有）后的质量保证金，以</w:t>
      </w:r>
      <w:r>
        <w:rPr>
          <w:rFonts w:hint="eastAsia" w:ascii="宋体" w:hAnsi="宋体" w:cs="宋体"/>
          <w:color w:val="auto"/>
          <w:sz w:val="15"/>
          <w:szCs w:val="15"/>
          <w:highlight w:val="none"/>
          <w:lang w:eastAsia="zh-CN"/>
        </w:rPr>
        <w:t>商业承兑汇票方式</w:t>
      </w:r>
      <w:r>
        <w:rPr>
          <w:rFonts w:hint="eastAsia" w:ascii="宋体" w:hAnsi="宋体" w:cs="宋体"/>
          <w:color w:val="auto"/>
          <w:sz w:val="15"/>
          <w:szCs w:val="15"/>
          <w:highlight w:val="none"/>
        </w:rPr>
        <w:t>无息支付卖方。</w:t>
      </w:r>
    </w:p>
    <w:p>
      <w:pPr>
        <w:tabs>
          <w:tab w:val="left" w:pos="3180"/>
        </w:tabs>
        <w:spacing w:before="0" w:beforeLines="0" w:afterLines="0" w:line="240" w:lineRule="atLeast"/>
        <w:ind w:left="0" w:leftChars="0"/>
        <w:outlineLvl w:val="0"/>
        <w:rPr>
          <w:rFonts w:hint="eastAsia" w:ascii="宋体" w:hAnsi="宋体" w:cs="宋体"/>
          <w:color w:val="auto"/>
          <w:sz w:val="15"/>
          <w:szCs w:val="15"/>
          <w:highlight w:val="none"/>
        </w:rPr>
      </w:pPr>
      <w:bookmarkStart w:id="170" w:name="_Toc14434"/>
      <w:r>
        <w:rPr>
          <w:rFonts w:hint="eastAsia" w:ascii="宋体" w:hAnsi="宋体" w:cs="宋体"/>
          <w:b/>
          <w:color w:val="auto"/>
          <w:sz w:val="15"/>
          <w:szCs w:val="15"/>
          <w:highlight w:val="none"/>
        </w:rPr>
        <w:t>6.质量保证</w:t>
      </w:r>
      <w:bookmarkEnd w:id="170"/>
      <w:r>
        <w:rPr>
          <w:rFonts w:hint="eastAsia" w:ascii="宋体" w:hAnsi="宋体" w:cs="宋体"/>
          <w:b/>
          <w:color w:val="auto"/>
          <w:sz w:val="15"/>
          <w:szCs w:val="15"/>
          <w:highlight w:val="none"/>
        </w:rPr>
        <w:t>期及服务</w:t>
      </w:r>
    </w:p>
    <w:p>
      <w:pPr>
        <w:tabs>
          <w:tab w:val="left" w:pos="3180"/>
        </w:tabs>
        <w:spacing w:before="0" w:beforeLines="0" w:afterLines="0" w:line="240" w:lineRule="atLeast"/>
        <w:ind w:left="0" w:leftChars="0" w:firstLine="300" w:firstLineChars="200"/>
        <w:rPr>
          <w:rFonts w:hint="eastAsia" w:ascii="宋体" w:hAnsi="宋体" w:eastAsia="宋体" w:cs="宋体"/>
          <w:color w:val="auto"/>
          <w:sz w:val="15"/>
          <w:szCs w:val="15"/>
          <w:highlight w:val="none"/>
          <w:lang w:eastAsia="zh-CN"/>
        </w:rPr>
      </w:pPr>
      <w:r>
        <w:rPr>
          <w:rFonts w:hint="eastAsia" w:ascii="宋体" w:hAnsi="宋体" w:cs="宋体"/>
          <w:color w:val="auto"/>
          <w:sz w:val="15"/>
          <w:szCs w:val="15"/>
          <w:highlight w:val="none"/>
        </w:rPr>
        <w:t>6.1货物的质量保证期为</w:t>
      </w:r>
      <w:r>
        <w:rPr>
          <w:rFonts w:hint="eastAsia" w:ascii="宋体" w:hAnsi="宋体" w:cs="宋体"/>
          <w:color w:val="auto"/>
          <w:sz w:val="15"/>
          <w:szCs w:val="15"/>
          <w:highlight w:val="none"/>
          <w:lang w:val="en-US" w:eastAsia="zh-CN"/>
        </w:rPr>
        <w:t>36</w:t>
      </w:r>
      <w:r>
        <w:rPr>
          <w:rFonts w:hint="eastAsia" w:ascii="宋体" w:hAnsi="宋体" w:cs="宋体"/>
          <w:color w:val="auto"/>
          <w:sz w:val="15"/>
          <w:szCs w:val="15"/>
          <w:highlight w:val="none"/>
        </w:rPr>
        <w:t>个月，自项目内组装货物的全部</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产品交付并通过验收之次日起算</w:t>
      </w:r>
      <w:r>
        <w:rPr>
          <w:rFonts w:hint="eastAsia" w:ascii="宋体" w:hAnsi="宋体" w:cs="宋体"/>
          <w:color w:val="auto"/>
          <w:sz w:val="15"/>
          <w:szCs w:val="15"/>
          <w:highlight w:val="none"/>
          <w:lang w:eastAsia="zh-CN"/>
        </w:rPr>
        <w:t>。</w:t>
      </w:r>
    </w:p>
    <w:p>
      <w:pPr>
        <w:tabs>
          <w:tab w:val="left" w:pos="3180"/>
        </w:tabs>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若合同项下技术与质量标准相关文件中所列明的货物质量保证期另有规定的，从其规定。</w:t>
      </w:r>
    </w:p>
    <w:p>
      <w:pPr>
        <w:tabs>
          <w:tab w:val="left" w:pos="3180"/>
        </w:tabs>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若出现买方产品因故障（不限于货物质量引起）而被延长买方产品的质量保证期时，被组装到该买方产品上的相应货物的质量保证期将同等延长。</w:t>
      </w:r>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6.2在质量保证期内，如果货物出现故障或缺陷，卖方应在接到买方通知后及时派员到达（属同一市区：12小时；属同一省区：24小时；其他地区：48小时）出现故障或缺陷的货物现场，并按时或按买方要求的时间内修复或更换。若缺陷或故障不是由于买方或用户不遵守卖方的操作及保养说明及其他的人为破坏所造成</w:t>
      </w:r>
      <w:r>
        <w:rPr>
          <w:rFonts w:hint="eastAsia" w:ascii="宋体" w:hAnsi="宋体" w:cs="宋体"/>
          <w:color w:val="auto"/>
          <w:sz w:val="15"/>
          <w:szCs w:val="15"/>
          <w:highlight w:val="none"/>
          <w:lang w:eastAsia="zh-CN"/>
        </w:rPr>
        <w:t>，</w:t>
      </w:r>
      <w:r>
        <w:rPr>
          <w:rFonts w:hint="eastAsia" w:ascii="宋体" w:hAnsi="宋体" w:cs="宋体"/>
          <w:color w:val="auto"/>
          <w:sz w:val="15"/>
          <w:szCs w:val="15"/>
          <w:highlight w:val="none"/>
        </w:rPr>
        <w:t>则所发生的费用均由卖方承担。如果经卖方修复或更换，仍未消除故障或缺陷，买方可视情况选择退货或对货物进行降价。</w:t>
      </w:r>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若货物有修复或更换，质量保证期从投入正常使用之次日起重新计算。</w:t>
      </w:r>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6.3质量保证期内货物所使用的备品备件与易损易耗件的费用由卖方承担。</w:t>
      </w:r>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6.4在合同履行期间，若双方对因货物故障或缺陷而进行的质量责任判定存在分歧，应由双方共同书面选定并由卖方委托第三方鉴定机构进行质量检验及判定，所发生的费用暂由卖方承担，待取得鉴定结果后按双方各自应承担的质量责任比例承担费用。</w:t>
      </w:r>
    </w:p>
    <w:p>
      <w:pPr>
        <w:spacing w:before="0" w:beforeLines="0" w:afterLines="0" w:line="240" w:lineRule="atLeast"/>
        <w:ind w:firstLine="300" w:firstLineChars="200"/>
        <w:rPr>
          <w:rFonts w:hint="eastAsia" w:ascii="宋体" w:hAnsi="宋体" w:eastAsia="宋体" w:cs="宋体"/>
          <w:b/>
          <w:bCs/>
          <w:color w:val="auto"/>
          <w:kern w:val="2"/>
          <w:sz w:val="15"/>
          <w:szCs w:val="15"/>
          <w:highlight w:val="none"/>
          <w:lang w:val="en-US" w:eastAsia="zh-CN" w:bidi="ar-SA"/>
        </w:rPr>
      </w:pPr>
      <w:r>
        <w:rPr>
          <w:rFonts w:hint="eastAsia" w:ascii="宋体" w:hAnsi="宋体" w:cs="宋体"/>
          <w:color w:val="auto"/>
          <w:sz w:val="15"/>
          <w:szCs w:val="15"/>
          <w:highlight w:val="none"/>
        </w:rPr>
        <w:t>6.</w:t>
      </w:r>
      <w:r>
        <w:rPr>
          <w:rFonts w:hint="eastAsia" w:ascii="宋体" w:hAnsi="宋体" w:cs="宋体"/>
          <w:color w:val="auto"/>
          <w:sz w:val="15"/>
          <w:szCs w:val="15"/>
          <w:highlight w:val="none"/>
          <w:lang w:val="en-US" w:eastAsia="zh-CN"/>
        </w:rPr>
        <w:t>5</w:t>
      </w:r>
      <w:r>
        <w:rPr>
          <w:rFonts w:hint="eastAsia" w:ascii="宋体" w:hAnsi="宋体" w:cs="宋体"/>
          <w:color w:val="auto"/>
          <w:sz w:val="15"/>
          <w:szCs w:val="15"/>
          <w:highlight w:val="none"/>
        </w:rPr>
        <w:t>质量保证期结束后，在买方或</w:t>
      </w:r>
      <w:r>
        <w:rPr>
          <w:rFonts w:hint="eastAsia" w:ascii="宋体" w:hAnsi="宋体" w:cs="宋体"/>
          <w:color w:val="auto"/>
          <w:sz w:val="15"/>
          <w:szCs w:val="15"/>
          <w:highlight w:val="none"/>
          <w:lang w:eastAsia="zh-CN"/>
        </w:rPr>
        <w:t>安装</w:t>
      </w:r>
      <w:r>
        <w:rPr>
          <w:rFonts w:hint="eastAsia" w:ascii="宋体" w:hAnsi="宋体" w:cs="宋体"/>
          <w:color w:val="auto"/>
          <w:sz w:val="15"/>
          <w:szCs w:val="15"/>
          <w:highlight w:val="none"/>
        </w:rPr>
        <w:t>货物</w:t>
      </w:r>
      <w:r>
        <w:rPr>
          <w:rFonts w:hint="eastAsia" w:ascii="宋体" w:hAnsi="宋体" w:cs="宋体"/>
          <w:color w:val="auto"/>
          <w:sz w:val="15"/>
          <w:szCs w:val="15"/>
          <w:highlight w:val="none"/>
          <w:lang w:eastAsia="zh-CN"/>
        </w:rPr>
        <w:t>的</w:t>
      </w:r>
      <w:r>
        <w:rPr>
          <w:rFonts w:hint="eastAsia" w:ascii="宋体" w:hAnsi="宋体" w:cs="宋体"/>
          <w:color w:val="auto"/>
          <w:sz w:val="15"/>
          <w:szCs w:val="15"/>
          <w:highlight w:val="none"/>
        </w:rPr>
        <w:t>买方产品用户现场需要时，卖方应按买方通知要求派员提供货物维保服务。</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tLeast"/>
        <w:ind w:left="0" w:leftChars="0" w:right="0" w:rightChars="0" w:firstLine="0" w:firstLineChars="0"/>
        <w:jc w:val="both"/>
        <w:textAlignment w:val="auto"/>
        <w:rPr>
          <w:rFonts w:hint="eastAsia" w:ascii="宋体" w:hAnsi="宋体" w:eastAsia="宋体" w:cs="宋体"/>
          <w:b/>
          <w:color w:val="auto"/>
          <w:kern w:val="2"/>
          <w:sz w:val="15"/>
          <w:szCs w:val="15"/>
          <w:highlight w:val="none"/>
          <w:lang w:val="en-US" w:eastAsia="zh-CN" w:bidi="ar-SA"/>
        </w:rPr>
      </w:pPr>
      <w:r>
        <w:rPr>
          <w:rFonts w:hint="eastAsia" w:ascii="宋体" w:hAnsi="宋体" w:eastAsia="宋体" w:cs="宋体"/>
          <w:b/>
          <w:bCs/>
          <w:color w:val="auto"/>
          <w:kern w:val="2"/>
          <w:sz w:val="15"/>
          <w:szCs w:val="15"/>
          <w:highlight w:val="none"/>
          <w:lang w:val="en-US" w:eastAsia="zh-CN" w:bidi="ar-SA"/>
        </w:rPr>
        <w:t>7</w:t>
      </w:r>
      <w:r>
        <w:rPr>
          <w:rFonts w:hint="default" w:ascii="宋体" w:hAnsi="宋体" w:eastAsia="宋体" w:cs="宋体"/>
          <w:b/>
          <w:bCs/>
          <w:color w:val="auto"/>
          <w:kern w:val="2"/>
          <w:sz w:val="15"/>
          <w:szCs w:val="15"/>
          <w:highlight w:val="none"/>
          <w:lang w:val="en-US" w:eastAsia="zh-CN" w:bidi="ar-SA"/>
        </w:rPr>
        <w:t>.</w:t>
      </w:r>
      <w:r>
        <w:rPr>
          <w:rFonts w:hint="eastAsia" w:ascii="宋体" w:hAnsi="宋体" w:eastAsia="宋体" w:cs="宋体"/>
          <w:b/>
          <w:color w:val="auto"/>
          <w:kern w:val="2"/>
          <w:sz w:val="15"/>
          <w:szCs w:val="15"/>
          <w:highlight w:val="none"/>
          <w:lang w:val="en-US" w:eastAsia="zh-CN" w:bidi="ar-SA"/>
        </w:rPr>
        <w:t>知识产权</w:t>
      </w:r>
    </w:p>
    <w:p>
      <w:pPr>
        <w:pStyle w:val="24"/>
        <w:numPr>
          <w:ilvl w:val="0"/>
          <w:numId w:val="0"/>
        </w:numPr>
        <w:adjustRightInd w:val="0"/>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eastAsia="宋体" w:cs="宋体"/>
          <w:b w:val="0"/>
          <w:bCs/>
          <w:color w:val="auto"/>
          <w:kern w:val="2"/>
          <w:sz w:val="15"/>
          <w:szCs w:val="15"/>
          <w:highlight w:val="none"/>
          <w:lang w:val="en-US" w:eastAsia="zh-CN" w:bidi="ar-SA"/>
        </w:rPr>
        <w:t>7.1</w:t>
      </w:r>
      <w:r>
        <w:rPr>
          <w:rFonts w:hint="eastAsia" w:ascii="宋体" w:hAnsi="宋体" w:eastAsia="宋体" w:cs="宋体"/>
          <w:color w:val="auto"/>
          <w:kern w:val="2"/>
          <w:sz w:val="15"/>
          <w:szCs w:val="15"/>
          <w:highlight w:val="none"/>
          <w:lang w:val="en-US" w:eastAsia="zh-CN" w:bidi="ar-SA"/>
        </w:rPr>
        <w:t>卖方保证买方不会因使用本合同货物而受到任何他人提出在知识产权方面的侵权指控，否则由卖方负责处理，并承担因此产生的所有费用及一切赔偿责任。本条款下卖方知识产权保证义务独立于本合同，不受本合同终止、解除或失效的影响。</w:t>
      </w:r>
    </w:p>
    <w:p>
      <w:pPr>
        <w:snapToGrid w:val="0"/>
        <w:spacing w:before="0" w:beforeLines="0" w:afterLines="0" w:line="240" w:lineRule="atLeast"/>
        <w:outlineLvl w:val="0"/>
        <w:rPr>
          <w:rFonts w:hint="eastAsia" w:ascii="宋体" w:hAnsi="宋体" w:cs="宋体"/>
          <w:color w:val="auto"/>
          <w:sz w:val="15"/>
          <w:szCs w:val="15"/>
          <w:highlight w:val="none"/>
        </w:rPr>
      </w:pPr>
      <w:bookmarkStart w:id="171" w:name="_Toc12670"/>
      <w:r>
        <w:rPr>
          <w:rFonts w:hint="eastAsia" w:ascii="宋体" w:hAnsi="宋体" w:cs="宋体"/>
          <w:b/>
          <w:color w:val="auto"/>
          <w:sz w:val="15"/>
          <w:szCs w:val="15"/>
          <w:highlight w:val="none"/>
          <w:lang w:val="en-US" w:eastAsia="zh-CN"/>
        </w:rPr>
        <w:t>8</w:t>
      </w:r>
      <w:r>
        <w:rPr>
          <w:rFonts w:hint="eastAsia" w:ascii="宋体" w:hAnsi="宋体" w:cs="宋体"/>
          <w:b/>
          <w:color w:val="auto"/>
          <w:sz w:val="15"/>
          <w:szCs w:val="15"/>
          <w:highlight w:val="none"/>
        </w:rPr>
        <w:t>.合规承诺</w:t>
      </w:r>
      <w:bookmarkEnd w:id="171"/>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双方保证已经就以下承诺内容与双方的管理层、董事、一般管理人员、经办人或其他相关人员（包括但不限于其任何关联方、分包商、顾问、代表或代理）进行了充分的沟通，并确保上述人员遵守本承诺条款的要求：</w:t>
      </w:r>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8.1</w:t>
      </w:r>
      <w:r>
        <w:rPr>
          <w:rFonts w:hint="eastAsia" w:ascii="宋体" w:hAnsi="宋体" w:cs="宋体"/>
          <w:color w:val="auto"/>
          <w:sz w:val="15"/>
          <w:szCs w:val="15"/>
          <w:highlight w:val="none"/>
        </w:rPr>
        <w:t>双方均不得向对方或对方经办人或其他相关人员索要、收受、提供、给予合同约定外的任何利益，包括但不限于明扣、暗扣、现金、购物卡、实物、有价证券、旅游或其他非物质性利益等；</w:t>
      </w:r>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8.2</w:t>
      </w:r>
      <w:r>
        <w:rPr>
          <w:rFonts w:hint="eastAsia" w:ascii="宋体" w:hAnsi="宋体" w:cs="宋体"/>
          <w:color w:val="auto"/>
          <w:sz w:val="15"/>
          <w:szCs w:val="15"/>
          <w:highlight w:val="none"/>
        </w:rPr>
        <w:t>双方完全遵守所有适用的中国法律包括反腐败、反洗钱、反恐怖主义、出口管制和经济制裁以及反联合抵制的法律；</w:t>
      </w:r>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8.</w:t>
      </w:r>
      <w:r>
        <w:rPr>
          <w:rFonts w:hint="eastAsia" w:ascii="宋体" w:hAnsi="宋体" w:cs="宋体"/>
          <w:color w:val="auto"/>
          <w:sz w:val="15"/>
          <w:szCs w:val="15"/>
          <w:highlight w:val="none"/>
        </w:rPr>
        <w:t>3双方没有，并且没有任何证据显示其任何董事、公司管理人员、员工或任何其</w:t>
      </w:r>
      <w:r>
        <w:rPr>
          <w:rFonts w:hint="eastAsia" w:ascii="宋体" w:hAnsi="宋体" w:cs="宋体"/>
          <w:color w:val="auto"/>
          <w:sz w:val="15"/>
          <w:szCs w:val="15"/>
          <w:highlight w:val="none"/>
          <w:lang w:val="en-US" w:eastAsia="zh-CN"/>
        </w:rPr>
        <w:t>他</w:t>
      </w:r>
      <w:r>
        <w:rPr>
          <w:rFonts w:hint="eastAsia" w:ascii="宋体" w:hAnsi="宋体" w:cs="宋体"/>
          <w:color w:val="auto"/>
          <w:sz w:val="15"/>
          <w:szCs w:val="15"/>
          <w:highlight w:val="none"/>
        </w:rPr>
        <w:t>为其工作的人员（包括但不限于其任何关联方、分包商、顾问、代表或代理）已经直接或间接地参与被禁止的交易（“被禁止的交易”），包括但不限于：</w:t>
      </w:r>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8.3.1</w:t>
      </w:r>
      <w:r>
        <w:rPr>
          <w:rFonts w:hint="eastAsia" w:ascii="宋体" w:hAnsi="宋体" w:cs="宋体"/>
          <w:color w:val="auto"/>
          <w:sz w:val="15"/>
          <w:szCs w:val="15"/>
          <w:highlight w:val="none"/>
        </w:rPr>
        <w:t>接受、转让、转移、留存、使用、策划、分流或藏匿任何犯罪活动的收益，包括毒品交易，欺诈和贿赂政府官员；</w:t>
      </w:r>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8.3.2</w:t>
      </w:r>
      <w:r>
        <w:rPr>
          <w:rFonts w:hint="eastAsia" w:ascii="宋体" w:hAnsi="宋体" w:cs="宋体"/>
          <w:color w:val="auto"/>
          <w:sz w:val="15"/>
          <w:szCs w:val="15"/>
          <w:highlight w:val="none"/>
        </w:rPr>
        <w:t>从事或参与为任何恐怖分子、活动或组织筹资、提供财务或其他方式的支持、赞助、协助</w:t>
      </w:r>
      <w:r>
        <w:rPr>
          <w:rFonts w:hint="eastAsia" w:ascii="宋体" w:hAnsi="宋体" w:cs="宋体"/>
          <w:color w:val="auto"/>
          <w:sz w:val="15"/>
          <w:szCs w:val="15"/>
          <w:highlight w:val="none"/>
          <w:lang w:eastAsia="zh-CN"/>
        </w:rPr>
        <w:t>或</w:t>
      </w:r>
      <w:r>
        <w:rPr>
          <w:rFonts w:hint="eastAsia" w:ascii="宋体" w:hAnsi="宋体" w:cs="宋体"/>
          <w:color w:val="auto"/>
          <w:sz w:val="15"/>
          <w:szCs w:val="15"/>
          <w:highlight w:val="none"/>
        </w:rPr>
        <w:t>提供援助；</w:t>
      </w:r>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8.3.3</w:t>
      </w:r>
      <w:r>
        <w:rPr>
          <w:rFonts w:hint="eastAsia" w:ascii="宋体" w:hAnsi="宋体" w:cs="宋体"/>
          <w:color w:val="auto"/>
          <w:sz w:val="15"/>
          <w:szCs w:val="15"/>
          <w:highlight w:val="none"/>
        </w:rPr>
        <w:t>与某一被指定人进行任何交易或开展商业往来。“被指定人”指出现在美国、中国或联合国公布的关于洗钱、资助恐怖主义、毒品交易</w:t>
      </w:r>
      <w:r>
        <w:rPr>
          <w:rFonts w:hint="eastAsia" w:ascii="宋体" w:hAnsi="宋体" w:cs="宋体"/>
          <w:color w:val="auto"/>
          <w:sz w:val="15"/>
          <w:szCs w:val="15"/>
          <w:highlight w:val="none"/>
          <w:lang w:eastAsia="zh-CN"/>
        </w:rPr>
        <w:t>或</w:t>
      </w:r>
      <w:r>
        <w:rPr>
          <w:rFonts w:hint="eastAsia" w:ascii="宋体" w:hAnsi="宋体" w:cs="宋体"/>
          <w:color w:val="auto"/>
          <w:sz w:val="15"/>
          <w:szCs w:val="15"/>
          <w:highlight w:val="none"/>
        </w:rPr>
        <w:t>经济或武器禁运名单上的个人或实体。</w:t>
      </w:r>
    </w:p>
    <w:p>
      <w:pPr>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8.3.</w:t>
      </w:r>
      <w:r>
        <w:rPr>
          <w:rFonts w:hint="eastAsia" w:ascii="宋体" w:hAnsi="宋体" w:cs="宋体"/>
          <w:color w:val="auto"/>
          <w:sz w:val="15"/>
          <w:szCs w:val="15"/>
          <w:highlight w:val="none"/>
        </w:rPr>
        <w:t>4卖方没有直接或间接地与任何政府官员分享或许诺分享其从买方得到的或与买方相关的费用或任何其它资金；</w:t>
      </w:r>
    </w:p>
    <w:p>
      <w:pPr>
        <w:tabs>
          <w:tab w:val="left" w:pos="3180"/>
        </w:tabs>
        <w:spacing w:before="0" w:beforeLines="0" w:afterLines="0" w:line="240" w:lineRule="atLeast"/>
        <w:ind w:firstLine="300" w:firstLineChars="200"/>
        <w:outlineLvl w:val="9"/>
        <w:rPr>
          <w:rFonts w:hint="eastAsia" w:ascii="宋体" w:hAnsi="宋体" w:cs="宋体"/>
          <w:b/>
          <w:color w:val="auto"/>
          <w:sz w:val="15"/>
          <w:szCs w:val="15"/>
          <w:highlight w:val="none"/>
        </w:rPr>
      </w:pPr>
      <w:r>
        <w:rPr>
          <w:rFonts w:hint="eastAsia" w:ascii="宋体" w:hAnsi="宋体" w:cs="宋体"/>
          <w:color w:val="auto"/>
          <w:sz w:val="15"/>
          <w:szCs w:val="15"/>
          <w:highlight w:val="none"/>
          <w:lang w:val="en-US" w:eastAsia="zh-CN"/>
        </w:rPr>
        <w:t>8.3.5</w:t>
      </w:r>
      <w:r>
        <w:rPr>
          <w:rFonts w:hint="eastAsia" w:ascii="宋体" w:hAnsi="宋体" w:cs="宋体"/>
          <w:color w:val="auto"/>
          <w:sz w:val="15"/>
          <w:szCs w:val="15"/>
          <w:highlight w:val="none"/>
        </w:rPr>
        <w:t>买方如发现卖方违反本条，买方有权单方面终止合同，并不承担违约责任。</w:t>
      </w:r>
      <w:bookmarkStart w:id="172" w:name="_Toc13084"/>
    </w:p>
    <w:p>
      <w:pPr>
        <w:tabs>
          <w:tab w:val="left" w:pos="3180"/>
        </w:tabs>
        <w:spacing w:before="0" w:beforeLines="0" w:afterLines="0" w:line="240" w:lineRule="atLeast"/>
        <w:ind w:left="0" w:leftChars="0"/>
        <w:outlineLvl w:val="0"/>
        <w:rPr>
          <w:rFonts w:hint="eastAsia" w:ascii="宋体" w:hAnsi="宋体" w:cs="宋体"/>
          <w:color w:val="auto"/>
          <w:sz w:val="15"/>
          <w:szCs w:val="15"/>
          <w:highlight w:val="none"/>
        </w:rPr>
      </w:pPr>
      <w:r>
        <w:rPr>
          <w:rFonts w:hint="eastAsia" w:ascii="宋体" w:hAnsi="宋体" w:cs="宋体"/>
          <w:b/>
          <w:color w:val="auto"/>
          <w:sz w:val="15"/>
          <w:szCs w:val="15"/>
          <w:highlight w:val="none"/>
          <w:lang w:val="en-US" w:eastAsia="zh-CN"/>
        </w:rPr>
        <w:t>9</w:t>
      </w:r>
      <w:r>
        <w:rPr>
          <w:rFonts w:hint="eastAsia" w:ascii="宋体" w:hAnsi="宋体" w:cs="宋体"/>
          <w:b/>
          <w:color w:val="auto"/>
          <w:sz w:val="15"/>
          <w:szCs w:val="15"/>
          <w:highlight w:val="none"/>
        </w:rPr>
        <w:t>.保密</w:t>
      </w:r>
      <w:bookmarkEnd w:id="172"/>
    </w:p>
    <w:p>
      <w:pPr>
        <w:keepNext/>
        <w:snapToGrid w:val="0"/>
        <w:spacing w:before="0" w:beforeLines="0" w:afterLines="0" w:line="240" w:lineRule="atLeast"/>
        <w:ind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bidi="ar"/>
        </w:rPr>
        <w:t>9</w:t>
      </w:r>
      <w:r>
        <w:rPr>
          <w:rFonts w:hint="eastAsia" w:ascii="宋体" w:hAnsi="宋体" w:cs="宋体"/>
          <w:color w:val="auto"/>
          <w:sz w:val="15"/>
          <w:szCs w:val="15"/>
          <w:highlight w:val="none"/>
          <w:lang w:bidi="ar"/>
        </w:rPr>
        <w:t>.1在本合同签订前、履行中及终止后，接收方对披露方提供的资料、信息（包括但不限于商业秘密、技术秘密、内部管理资料等）负严格的保密责任，交易双方对交易本身负严格的保密责任。接收方违反约定导致披露方遭受损失或不利影响的</w:t>
      </w:r>
      <w:r>
        <w:rPr>
          <w:rFonts w:hint="eastAsia" w:ascii="宋体" w:hAnsi="宋体" w:eastAsia="宋体" w:cs="宋体"/>
          <w:color w:val="auto"/>
          <w:sz w:val="15"/>
          <w:szCs w:val="15"/>
          <w:highlight w:val="none"/>
          <w:lang w:bidi="ar"/>
        </w:rPr>
        <w:t>应承担违约责任</w:t>
      </w:r>
      <w:r>
        <w:rPr>
          <w:rFonts w:hint="eastAsia" w:ascii="宋体" w:hAnsi="宋体" w:eastAsia="宋体" w:cs="宋体"/>
          <w:color w:val="auto"/>
          <w:sz w:val="15"/>
          <w:szCs w:val="15"/>
          <w:highlight w:val="none"/>
          <w:lang w:eastAsia="zh-CN" w:bidi="ar"/>
        </w:rPr>
        <w:t>并</w:t>
      </w:r>
      <w:r>
        <w:rPr>
          <w:rFonts w:hint="eastAsia" w:ascii="宋体" w:hAnsi="宋体" w:eastAsia="宋体" w:cs="宋体"/>
          <w:color w:val="auto"/>
          <w:sz w:val="15"/>
          <w:szCs w:val="15"/>
          <w:highlight w:val="none"/>
          <w:lang w:bidi="ar"/>
        </w:rPr>
        <w:t>应赔偿因此给对方造成的所有损失</w:t>
      </w:r>
      <w:r>
        <w:rPr>
          <w:rFonts w:hint="eastAsia" w:ascii="宋体" w:hAnsi="宋体" w:eastAsia="宋体" w:cs="宋体"/>
          <w:color w:val="auto"/>
          <w:sz w:val="15"/>
          <w:szCs w:val="15"/>
          <w:highlight w:val="none"/>
          <w:lang w:eastAsia="zh-CN" w:bidi="ar"/>
        </w:rPr>
        <w:t>。</w:t>
      </w:r>
    </w:p>
    <w:p>
      <w:pPr>
        <w:keepNext/>
        <w:snapToGrid w:val="0"/>
        <w:spacing w:before="0" w:beforeLines="0" w:afterLines="0" w:line="240" w:lineRule="atLeast"/>
        <w:ind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bidi="ar"/>
        </w:rPr>
        <w:t>9</w:t>
      </w:r>
      <w:r>
        <w:rPr>
          <w:rFonts w:hint="eastAsia" w:ascii="宋体" w:hAnsi="宋体" w:cs="宋体"/>
          <w:color w:val="auto"/>
          <w:sz w:val="15"/>
          <w:szCs w:val="15"/>
          <w:highlight w:val="none"/>
          <w:lang w:bidi="ar"/>
        </w:rPr>
        <w:t>.2未经披露方书面同意，接收方不得将上述资料及信息在任何时间以任何方式披露给任何第三人</w:t>
      </w:r>
      <w:r>
        <w:rPr>
          <w:rFonts w:hint="eastAsia" w:ascii="宋体" w:hAnsi="宋体" w:cs="宋体"/>
          <w:color w:val="auto"/>
          <w:sz w:val="15"/>
          <w:szCs w:val="15"/>
          <w:highlight w:val="none"/>
          <w:lang w:eastAsia="zh-CN" w:bidi="ar"/>
        </w:rPr>
        <w:t>，</w:t>
      </w:r>
      <w:r>
        <w:rPr>
          <w:rFonts w:hint="eastAsia" w:ascii="宋体" w:hAnsi="宋体" w:cs="宋体"/>
          <w:color w:val="auto"/>
          <w:sz w:val="15"/>
          <w:szCs w:val="15"/>
          <w:highlight w:val="none"/>
          <w:lang w:bidi="ar"/>
        </w:rPr>
        <w:t>也不得将上述资料及信息用于本合同以外的目的。</w:t>
      </w:r>
    </w:p>
    <w:p>
      <w:pPr>
        <w:keepNext/>
        <w:tabs>
          <w:tab w:val="left" w:pos="3180"/>
        </w:tabs>
        <w:snapToGrid w:val="0"/>
        <w:spacing w:before="0" w:beforeLines="0" w:afterLines="0" w:line="240" w:lineRule="atLeast"/>
        <w:ind w:firstLine="300" w:firstLineChars="200"/>
        <w:jc w:val="left"/>
        <w:outlineLvl w:val="9"/>
        <w:rPr>
          <w:rFonts w:hint="eastAsia" w:ascii="宋体" w:hAnsi="宋体" w:cs="宋体"/>
          <w:b/>
          <w:color w:val="auto"/>
          <w:sz w:val="15"/>
          <w:szCs w:val="15"/>
          <w:highlight w:val="none"/>
        </w:rPr>
      </w:pPr>
      <w:r>
        <w:rPr>
          <w:rFonts w:hint="eastAsia" w:ascii="宋体" w:hAnsi="宋体" w:cs="宋体"/>
          <w:color w:val="auto"/>
          <w:sz w:val="15"/>
          <w:szCs w:val="15"/>
          <w:highlight w:val="none"/>
          <w:lang w:val="en-US" w:eastAsia="zh-CN" w:bidi="ar"/>
        </w:rPr>
        <w:t>9</w:t>
      </w:r>
      <w:r>
        <w:rPr>
          <w:rFonts w:hint="eastAsia" w:ascii="宋体" w:hAnsi="宋体" w:cs="宋体"/>
          <w:color w:val="auto"/>
          <w:sz w:val="15"/>
          <w:szCs w:val="15"/>
          <w:highlight w:val="none"/>
          <w:lang w:bidi="ar"/>
        </w:rPr>
        <w:t>.3保密条款具有独立性，不受本合同的终止或解除的影响。</w:t>
      </w:r>
      <w:bookmarkStart w:id="173" w:name="_Toc27105"/>
    </w:p>
    <w:p>
      <w:pPr>
        <w:tabs>
          <w:tab w:val="left" w:pos="3180"/>
        </w:tabs>
        <w:spacing w:before="0" w:beforeLines="0" w:afterLines="0" w:line="240" w:lineRule="atLeast"/>
        <w:outlineLvl w:val="0"/>
        <w:rPr>
          <w:rFonts w:hint="eastAsia" w:ascii="宋体" w:hAnsi="宋体" w:cs="宋体"/>
          <w:color w:val="auto"/>
          <w:sz w:val="15"/>
          <w:szCs w:val="15"/>
          <w:highlight w:val="none"/>
        </w:rPr>
      </w:pPr>
      <w:r>
        <w:rPr>
          <w:rFonts w:hint="eastAsia" w:ascii="宋体" w:hAnsi="宋体" w:cs="宋体"/>
          <w:b/>
          <w:color w:val="auto"/>
          <w:sz w:val="15"/>
          <w:szCs w:val="15"/>
          <w:highlight w:val="none"/>
          <w:lang w:val="en-US" w:eastAsia="zh-CN"/>
        </w:rPr>
        <w:t>10</w:t>
      </w:r>
      <w:r>
        <w:rPr>
          <w:rFonts w:hint="eastAsia" w:ascii="宋体" w:hAnsi="宋体" w:cs="宋体"/>
          <w:b/>
          <w:color w:val="auto"/>
          <w:sz w:val="15"/>
          <w:szCs w:val="15"/>
          <w:highlight w:val="none"/>
        </w:rPr>
        <w:t>.违约责任</w:t>
      </w:r>
      <w:bookmarkEnd w:id="173"/>
    </w:p>
    <w:p>
      <w:pPr>
        <w:tabs>
          <w:tab w:val="left" w:pos="3180"/>
        </w:tabs>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.1若卖方迟延交货，自合同约定的交货期限届满之次日起，每迟延1日，卖方应向买方支付迟延交付部分对应价款总额</w:t>
      </w:r>
      <w:r>
        <w:rPr>
          <w:rFonts w:hint="eastAsia" w:ascii="宋体" w:hAnsi="宋体" w:cs="宋体"/>
          <w:color w:val="auto"/>
          <w:sz w:val="15"/>
          <w:szCs w:val="15"/>
          <w:highlight w:val="none"/>
          <w:lang w:val="en-US" w:eastAsia="zh-CN"/>
        </w:rPr>
        <w:t>1.5</w:t>
      </w:r>
      <w:r>
        <w:rPr>
          <w:rFonts w:hint="eastAsia" w:ascii="宋体" w:hAnsi="宋体" w:cs="宋体"/>
          <w:color w:val="auto"/>
          <w:sz w:val="15"/>
          <w:szCs w:val="15"/>
          <w:highlight w:val="none"/>
        </w:rPr>
        <w:t>‰的违约金；卖方迟延交货超过</w:t>
      </w:r>
      <w:r>
        <w:rPr>
          <w:rFonts w:hint="eastAsia" w:ascii="宋体" w:hAnsi="宋体" w:cs="宋体"/>
          <w:color w:val="auto"/>
          <w:sz w:val="15"/>
          <w:szCs w:val="15"/>
          <w:highlight w:val="none"/>
          <w:lang w:val="en-US" w:eastAsia="zh-CN"/>
        </w:rPr>
        <w:t>7</w:t>
      </w:r>
      <w:r>
        <w:rPr>
          <w:rFonts w:hint="eastAsia" w:ascii="宋体" w:hAnsi="宋体" w:cs="宋体"/>
          <w:color w:val="auto"/>
          <w:sz w:val="15"/>
          <w:szCs w:val="15"/>
          <w:highlight w:val="none"/>
        </w:rPr>
        <w:t>日，自第</w:t>
      </w:r>
      <w:r>
        <w:rPr>
          <w:rFonts w:hint="eastAsia" w:ascii="宋体" w:hAnsi="宋体" w:cs="宋体"/>
          <w:color w:val="auto"/>
          <w:sz w:val="15"/>
          <w:szCs w:val="15"/>
          <w:highlight w:val="none"/>
          <w:lang w:val="en-US" w:eastAsia="zh-CN"/>
        </w:rPr>
        <w:t>8</w:t>
      </w:r>
      <w:r>
        <w:rPr>
          <w:rFonts w:hint="eastAsia" w:ascii="宋体" w:hAnsi="宋体" w:cs="宋体"/>
          <w:color w:val="auto"/>
          <w:sz w:val="15"/>
          <w:szCs w:val="15"/>
          <w:highlight w:val="none"/>
        </w:rPr>
        <w:t>日起前述迟延交付违约金比例调升至</w:t>
      </w:r>
      <w:r>
        <w:rPr>
          <w:rFonts w:hint="eastAsia" w:ascii="宋体" w:hAnsi="宋体" w:cs="宋体"/>
          <w:color w:val="auto"/>
          <w:sz w:val="15"/>
          <w:szCs w:val="15"/>
          <w:highlight w:val="none"/>
          <w:lang w:val="en-US" w:eastAsia="zh-CN"/>
        </w:rPr>
        <w:t>0.3</w:t>
      </w:r>
      <w:r>
        <w:rPr>
          <w:rFonts w:hint="eastAsia" w:ascii="宋体" w:hAnsi="宋体" w:cs="宋体"/>
          <w:color w:val="auto"/>
          <w:sz w:val="15"/>
          <w:szCs w:val="15"/>
          <w:highlight w:val="none"/>
        </w:rPr>
        <w:t>%/日，且自第</w:t>
      </w:r>
      <w:r>
        <w:rPr>
          <w:rFonts w:hint="eastAsia" w:ascii="宋体" w:hAnsi="宋体" w:cs="宋体"/>
          <w:color w:val="auto"/>
          <w:sz w:val="15"/>
          <w:szCs w:val="15"/>
          <w:highlight w:val="none"/>
          <w:lang w:val="en-US" w:eastAsia="zh-CN"/>
        </w:rPr>
        <w:t>11</w:t>
      </w:r>
      <w:r>
        <w:rPr>
          <w:rFonts w:hint="eastAsia" w:ascii="宋体" w:hAnsi="宋体" w:cs="宋体"/>
          <w:color w:val="auto"/>
          <w:sz w:val="15"/>
          <w:szCs w:val="15"/>
          <w:highlight w:val="none"/>
        </w:rPr>
        <w:t>日起买方享有全部或部分解除本合同的选择权。卖方应支付的违约金累计至实际交付日或合同解除日，迟交违约金的支付不能免除卖方继续交付迟交货物的义务。</w:t>
      </w:r>
    </w:p>
    <w:p>
      <w:pPr>
        <w:tabs>
          <w:tab w:val="left" w:pos="3180"/>
        </w:tabs>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若卖方迟延交货超过</w:t>
      </w: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日且因此迟延交货导致了买方生产计划兑现异常（引起工序停工或生产计划重大调整等），则卖方除应承担迟延交付违约金与承担相应赔偿外，在对应迟延期间内还应另按</w:t>
      </w:r>
      <w:r>
        <w:rPr>
          <w:rFonts w:hint="eastAsia" w:ascii="宋体" w:hAnsi="宋体" w:cs="宋体"/>
          <w:color w:val="auto"/>
          <w:sz w:val="15"/>
          <w:szCs w:val="15"/>
          <w:highlight w:val="none"/>
          <w:lang w:eastAsia="zh-CN"/>
        </w:rPr>
        <w:t>本合同金额的</w:t>
      </w:r>
      <w:r>
        <w:rPr>
          <w:rFonts w:hint="eastAsia" w:ascii="宋体" w:hAnsi="宋体" w:cs="宋体"/>
          <w:color w:val="auto"/>
          <w:sz w:val="15"/>
          <w:szCs w:val="15"/>
          <w:highlight w:val="none"/>
          <w:lang w:val="en-US" w:eastAsia="zh-CN"/>
        </w:rPr>
        <w:t>50%</w:t>
      </w:r>
      <w:r>
        <w:rPr>
          <w:rFonts w:hint="eastAsia" w:ascii="宋体" w:hAnsi="宋体" w:cs="宋体"/>
          <w:color w:val="auto"/>
          <w:sz w:val="15"/>
          <w:szCs w:val="15"/>
          <w:highlight w:val="none"/>
        </w:rPr>
        <w:t>的标准向买方支付违约金。并须承担由此造成</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无法向其客户按期交货承担的违约赔偿金</w:t>
      </w:r>
      <w:r>
        <w:rPr>
          <w:rFonts w:hint="eastAsia" w:ascii="宋体" w:hAnsi="宋体" w:cs="宋体"/>
          <w:color w:val="auto"/>
          <w:sz w:val="15"/>
          <w:szCs w:val="15"/>
          <w:highlight w:val="none"/>
          <w:lang w:eastAsia="zh-CN"/>
        </w:rPr>
        <w:t>。</w:t>
      </w:r>
    </w:p>
    <w:p>
      <w:pPr>
        <w:tabs>
          <w:tab w:val="left" w:pos="3180"/>
        </w:tabs>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.2在交货后的查验、检验过程中，若货物经检验不符合本合同约定，则卖方应按不符合部分货物价款</w:t>
      </w:r>
      <w:r>
        <w:rPr>
          <w:rFonts w:hint="eastAsia" w:ascii="宋体" w:hAnsi="宋体" w:cs="宋体"/>
          <w:color w:val="auto"/>
          <w:sz w:val="15"/>
          <w:szCs w:val="15"/>
          <w:highlight w:val="none"/>
          <w:lang w:val="en-US" w:eastAsia="zh-CN"/>
        </w:rPr>
        <w:t>100</w:t>
      </w:r>
      <w:r>
        <w:rPr>
          <w:rFonts w:hint="eastAsia" w:ascii="宋体" w:hAnsi="宋体" w:cs="宋体"/>
          <w:color w:val="auto"/>
          <w:sz w:val="15"/>
          <w:szCs w:val="15"/>
          <w:highlight w:val="none"/>
        </w:rPr>
        <w:t>%向买方支付违约金；若货物经卖方更换或修复后，经第二次检验仍不符合本合同约定，则前述违约金调增为</w:t>
      </w:r>
      <w:r>
        <w:rPr>
          <w:rFonts w:hint="eastAsia" w:ascii="宋体" w:hAnsi="宋体" w:cs="宋体"/>
          <w:color w:val="auto"/>
          <w:sz w:val="15"/>
          <w:szCs w:val="15"/>
          <w:highlight w:val="none"/>
          <w:lang w:val="en-US" w:eastAsia="zh-CN"/>
        </w:rPr>
        <w:t>100</w:t>
      </w:r>
      <w:r>
        <w:rPr>
          <w:rFonts w:hint="eastAsia" w:ascii="宋体" w:hAnsi="宋体" w:cs="宋体"/>
          <w:color w:val="auto"/>
          <w:sz w:val="15"/>
          <w:szCs w:val="15"/>
          <w:highlight w:val="none"/>
        </w:rPr>
        <w:t>%，同时买方享有全部或部分解除本合同的选择权。</w:t>
      </w:r>
    </w:p>
    <w:p>
      <w:pPr>
        <w:tabs>
          <w:tab w:val="left" w:pos="3180"/>
        </w:tabs>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.3未经买方同意，卖方将货物全部或部分交由第三方完成的（包括以合作、联营等形式变相实施），每发现一次，应向买方支付合同总价款</w:t>
      </w:r>
      <w:r>
        <w:rPr>
          <w:rFonts w:hint="eastAsia" w:ascii="宋体" w:hAnsi="宋体" w:cs="宋体"/>
          <w:color w:val="auto"/>
          <w:sz w:val="15"/>
          <w:szCs w:val="15"/>
          <w:highlight w:val="none"/>
          <w:lang w:val="en-US" w:eastAsia="zh-CN"/>
        </w:rPr>
        <w:t>30</w:t>
      </w:r>
      <w:r>
        <w:rPr>
          <w:rFonts w:hint="eastAsia" w:ascii="宋体" w:hAnsi="宋体" w:cs="宋体"/>
          <w:color w:val="auto"/>
          <w:sz w:val="15"/>
          <w:szCs w:val="15"/>
          <w:highlight w:val="none"/>
        </w:rPr>
        <w:t>%的违约金，该违约金不因卖方事后纠正而免除。若卖方未在买方限定的时间内纠正，买方享有全部或部分解除本合同的选择权，同时前述违约金亦不得免除。</w:t>
      </w:r>
    </w:p>
    <w:p>
      <w:pPr>
        <w:tabs>
          <w:tab w:val="left" w:pos="3180"/>
        </w:tabs>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.4卖方怠于或拒绝履行合同约定的质量保证和售后服务义务，或者履行义务不符合本合同约定，每出现一次，应向买方支付合同总价</w:t>
      </w:r>
      <w:r>
        <w:rPr>
          <w:rFonts w:hint="eastAsia" w:ascii="宋体" w:hAnsi="宋体" w:cs="宋体"/>
          <w:color w:val="auto"/>
          <w:sz w:val="15"/>
          <w:szCs w:val="15"/>
          <w:highlight w:val="none"/>
          <w:lang w:val="en-US" w:eastAsia="zh-CN"/>
        </w:rPr>
        <w:t>30</w:t>
      </w:r>
      <w:r>
        <w:rPr>
          <w:rFonts w:hint="eastAsia" w:ascii="宋体" w:hAnsi="宋体" w:cs="宋体"/>
          <w:color w:val="auto"/>
          <w:sz w:val="15"/>
          <w:szCs w:val="15"/>
          <w:highlight w:val="none"/>
        </w:rPr>
        <w:t>%的违约金，该违约金不因卖方事后纠正而得以免除。</w:t>
      </w:r>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.5卖方所供货物存在侵犯了第三方知识产权的情形，每出现一次，应向买方支付侵权货物价款总额</w:t>
      </w:r>
      <w:r>
        <w:rPr>
          <w:rFonts w:hint="eastAsia" w:ascii="宋体" w:hAnsi="宋体" w:cs="宋体"/>
          <w:color w:val="auto"/>
          <w:sz w:val="15"/>
          <w:szCs w:val="15"/>
          <w:highlight w:val="none"/>
          <w:lang w:val="en-US" w:eastAsia="zh-CN"/>
        </w:rPr>
        <w:t>300</w:t>
      </w:r>
      <w:r>
        <w:rPr>
          <w:rFonts w:hint="eastAsia" w:ascii="宋体" w:hAnsi="宋体" w:cs="宋体"/>
          <w:color w:val="auto"/>
          <w:sz w:val="15"/>
          <w:szCs w:val="15"/>
          <w:highlight w:val="none"/>
        </w:rPr>
        <w:t>%的违约金，该违约金不因卖方尽职解决而免除。若因侵犯第三方知识产权导致买方造成失去订单、无法交付</w:t>
      </w:r>
      <w:r>
        <w:rPr>
          <w:rFonts w:hint="eastAsia" w:ascii="宋体" w:hAnsi="宋体" w:cs="宋体"/>
          <w:color w:val="auto"/>
          <w:sz w:val="15"/>
          <w:szCs w:val="15"/>
          <w:highlight w:val="none"/>
          <w:lang w:eastAsia="zh-CN"/>
        </w:rPr>
        <w:t>买方产品以及用户无法</w:t>
      </w:r>
      <w:r>
        <w:rPr>
          <w:rFonts w:hint="eastAsia" w:ascii="宋体" w:hAnsi="宋体" w:cs="宋体"/>
          <w:color w:val="auto"/>
          <w:sz w:val="15"/>
          <w:szCs w:val="15"/>
          <w:highlight w:val="none"/>
        </w:rPr>
        <w:t>运用</w:t>
      </w:r>
      <w:r>
        <w:rPr>
          <w:rFonts w:hint="eastAsia" w:ascii="宋体" w:hAnsi="宋体" w:cs="宋体"/>
          <w:color w:val="auto"/>
          <w:sz w:val="15"/>
          <w:szCs w:val="15"/>
          <w:highlight w:val="none"/>
          <w:lang w:eastAsia="zh-CN"/>
        </w:rPr>
        <w:t>买方产品</w:t>
      </w:r>
      <w:r>
        <w:rPr>
          <w:rFonts w:hint="eastAsia" w:ascii="宋体" w:hAnsi="宋体" w:cs="宋体"/>
          <w:color w:val="auto"/>
          <w:sz w:val="15"/>
          <w:szCs w:val="15"/>
          <w:highlight w:val="none"/>
        </w:rPr>
        <w:t>等情况，卖方应对由此给买方造成的损失予以赔偿。</w:t>
      </w:r>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.6任何一方违反本合同保密义务，应赔偿因此给对方造成的所有损失，损失额难以确定的，以本合同总价的</w:t>
      </w:r>
      <w:r>
        <w:rPr>
          <w:rFonts w:hint="eastAsia" w:ascii="宋体" w:hAnsi="宋体" w:cs="宋体"/>
          <w:color w:val="auto"/>
          <w:sz w:val="15"/>
          <w:szCs w:val="15"/>
          <w:highlight w:val="none"/>
          <w:lang w:val="en-US" w:eastAsia="zh-CN"/>
        </w:rPr>
        <w:t>300</w:t>
      </w:r>
      <w:r>
        <w:rPr>
          <w:rFonts w:hint="eastAsia" w:ascii="宋体" w:hAnsi="宋体" w:cs="宋体"/>
          <w:color w:val="auto"/>
          <w:sz w:val="15"/>
          <w:szCs w:val="15"/>
          <w:highlight w:val="none"/>
        </w:rPr>
        <w:t>%作为损失额。</w:t>
      </w:r>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7若卖方存在欺诈行为或违反合规承诺，买方有权选择全部或部分解除合同，卖方应对解除合同给买方造成的所有损失予以赔偿，包括但不限于因此导致买方被调查、被停工、被索赔以及买方在有限期间内以合理价格采取的必要补救措施等事项所发生的费用。</w:t>
      </w:r>
    </w:p>
    <w:p>
      <w:pPr>
        <w:snapToGrid w:val="0"/>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.8卖方应对违约而导致的买方损失或约定违约金不足以弥补买方损失的部分进行赔偿，该等损失包括但不限于实际损失、可得利益损失、第三方索赔、律师费、差旅费、食宿费等。</w:t>
      </w:r>
    </w:p>
    <w:p>
      <w:pPr>
        <w:snapToGrid w:val="0"/>
        <w:spacing w:before="0" w:beforeLines="0" w:afterLines="0" w:line="240" w:lineRule="atLeast"/>
        <w:ind w:firstLine="300" w:firstLineChars="200"/>
        <w:rPr>
          <w:color w:val="auto"/>
          <w:sz w:val="11"/>
          <w:szCs w:val="10"/>
          <w:highlight w:val="none"/>
        </w:rPr>
      </w:pPr>
      <w:r>
        <w:rPr>
          <w:rFonts w:hint="eastAsia" w:ascii="宋体" w:hAnsi="宋体" w:cs="宋体"/>
          <w:color w:val="auto"/>
          <w:sz w:val="15"/>
          <w:szCs w:val="15"/>
          <w:highlight w:val="none"/>
          <w:lang w:val="en-US" w:eastAsia="zh-CN"/>
        </w:rPr>
        <w:t>10</w:t>
      </w:r>
      <w:r>
        <w:rPr>
          <w:rFonts w:hint="eastAsia" w:ascii="宋体" w:hAnsi="宋体" w:cs="宋体"/>
          <w:color w:val="auto"/>
          <w:sz w:val="15"/>
          <w:szCs w:val="15"/>
          <w:highlight w:val="none"/>
        </w:rPr>
        <w:t>.9在卖方违约情况下，其应向买方承担的违约金和损失赔偿，</w:t>
      </w:r>
      <w:r>
        <w:rPr>
          <w:rStyle w:val="68"/>
          <w:rFonts w:hint="eastAsia" w:ascii="宋体" w:hAnsi="宋体" w:cs="宋体"/>
          <w:color w:val="auto"/>
          <w:sz w:val="15"/>
          <w:szCs w:val="15"/>
          <w:highlight w:val="none"/>
        </w:rPr>
        <w:t>买方应以书面形式向卖方发出违约索赔通知。若卖方收到买方索赔通知，应在</w:t>
      </w:r>
      <w:r>
        <w:rPr>
          <w:rStyle w:val="68"/>
          <w:rFonts w:hint="eastAsia" w:ascii="宋体" w:hAnsi="宋体" w:cs="宋体"/>
          <w:color w:val="auto"/>
          <w:sz w:val="15"/>
          <w:szCs w:val="15"/>
          <w:highlight w:val="none"/>
          <w:lang w:val="en-US" w:eastAsia="zh-CN"/>
        </w:rPr>
        <w:t>3</w:t>
      </w:r>
      <w:r>
        <w:rPr>
          <w:rStyle w:val="68"/>
          <w:rFonts w:hint="eastAsia" w:ascii="宋体" w:hAnsi="宋体" w:cs="宋体"/>
          <w:color w:val="auto"/>
          <w:sz w:val="15"/>
          <w:szCs w:val="15"/>
          <w:highlight w:val="none"/>
        </w:rPr>
        <w:t>个工作日内将书面处理意见或解决方案回复买方，未按时回复视为接受买方索赔要求。</w:t>
      </w:r>
      <w:r>
        <w:rPr>
          <w:rStyle w:val="68"/>
          <w:rFonts w:hint="eastAsia" w:ascii="宋体" w:hAnsi="宋体" w:cs="宋体"/>
          <w:color w:val="auto"/>
          <w:sz w:val="15"/>
          <w:szCs w:val="15"/>
          <w:highlight w:val="none"/>
          <w:shd w:val="clear" w:color="auto" w:fill="FFFFFF"/>
        </w:rPr>
        <w:t>若卖方接受买方的索赔要求或双方就索赔金额达成一致，</w:t>
      </w:r>
      <w:r>
        <w:rPr>
          <w:rFonts w:hint="eastAsia" w:ascii="宋体" w:hAnsi="宋体" w:cs="宋体"/>
          <w:color w:val="auto"/>
          <w:sz w:val="15"/>
          <w:szCs w:val="15"/>
          <w:highlight w:val="none"/>
        </w:rPr>
        <w:t>则卖方应按双方签认的相应文件约定期限或在收到买方通知后</w:t>
      </w:r>
      <w:r>
        <w:rPr>
          <w:rFonts w:hint="eastAsia" w:ascii="宋体" w:hAnsi="宋体" w:cs="宋体"/>
          <w:color w:val="auto"/>
          <w:sz w:val="15"/>
          <w:szCs w:val="15"/>
          <w:highlight w:val="none"/>
          <w:lang w:val="en-US" w:eastAsia="zh-CN"/>
        </w:rPr>
        <w:t>7</w:t>
      </w:r>
      <w:r>
        <w:rPr>
          <w:rFonts w:hint="eastAsia" w:ascii="宋体" w:hAnsi="宋体" w:cs="宋体"/>
          <w:color w:val="auto"/>
          <w:sz w:val="15"/>
          <w:szCs w:val="15"/>
          <w:highlight w:val="none"/>
        </w:rPr>
        <w:t>日内将违约金或相应赔偿金支付买方，并及时收取买方向卖方开具的对应发票。若卖方未能按时支付</w:t>
      </w:r>
      <w:r>
        <w:rPr>
          <w:rStyle w:val="68"/>
          <w:rFonts w:hint="eastAsia" w:ascii="宋体" w:hAnsi="宋体" w:cs="宋体"/>
          <w:color w:val="auto"/>
          <w:sz w:val="15"/>
          <w:szCs w:val="15"/>
          <w:highlight w:val="none"/>
          <w:shd w:val="clear" w:color="auto" w:fill="FFFFFF"/>
        </w:rPr>
        <w:t>，则买方</w:t>
      </w:r>
      <w:r>
        <w:rPr>
          <w:rFonts w:hint="eastAsia" w:ascii="宋体" w:hAnsi="宋体" w:cs="宋体"/>
          <w:color w:val="auto"/>
          <w:sz w:val="15"/>
          <w:szCs w:val="15"/>
          <w:highlight w:val="none"/>
        </w:rPr>
        <w:t>有权从未付卖方款项（包括质量保证金、履约保证金、应付账款等）中直接抵扣，不足以抵扣时卖方</w:t>
      </w:r>
      <w:r>
        <w:rPr>
          <w:rStyle w:val="68"/>
          <w:rFonts w:hint="eastAsia" w:ascii="宋体" w:hAnsi="宋体" w:cs="宋体"/>
          <w:color w:val="auto"/>
          <w:sz w:val="15"/>
          <w:szCs w:val="15"/>
          <w:highlight w:val="none"/>
          <w:shd w:val="clear" w:color="auto" w:fill="FFFFFF"/>
        </w:rPr>
        <w:t>应在</w:t>
      </w:r>
      <w:r>
        <w:rPr>
          <w:rStyle w:val="68"/>
          <w:rFonts w:hint="eastAsia" w:ascii="宋体" w:hAnsi="宋体" w:cs="宋体"/>
          <w:color w:val="auto"/>
          <w:sz w:val="15"/>
          <w:szCs w:val="15"/>
          <w:highlight w:val="none"/>
          <w:shd w:val="clear" w:color="auto" w:fill="FFFFFF"/>
          <w:lang w:val="en-US" w:eastAsia="zh-CN"/>
        </w:rPr>
        <w:t>3</w:t>
      </w:r>
      <w:r>
        <w:rPr>
          <w:rStyle w:val="68"/>
          <w:rFonts w:hint="eastAsia" w:ascii="宋体" w:hAnsi="宋体" w:cs="宋体"/>
          <w:color w:val="auto"/>
          <w:sz w:val="15"/>
          <w:szCs w:val="15"/>
          <w:highlight w:val="none"/>
          <w:shd w:val="clear" w:color="auto" w:fill="FFFFFF"/>
        </w:rPr>
        <w:t>日内以</w:t>
      </w:r>
      <w:r>
        <w:rPr>
          <w:rFonts w:hint="eastAsia" w:ascii="宋体" w:hAnsi="宋体" w:cs="宋体"/>
          <w:color w:val="auto"/>
          <w:sz w:val="15"/>
          <w:szCs w:val="15"/>
          <w:highlight w:val="none"/>
        </w:rPr>
        <w:t>银行转账、网银</w:t>
      </w:r>
      <w:r>
        <w:rPr>
          <w:rStyle w:val="68"/>
          <w:rFonts w:hint="eastAsia" w:ascii="宋体" w:hAnsi="宋体" w:cs="宋体"/>
          <w:color w:val="auto"/>
          <w:sz w:val="15"/>
          <w:szCs w:val="15"/>
          <w:highlight w:val="none"/>
          <w:shd w:val="clear" w:color="auto" w:fill="FFFFFF"/>
        </w:rPr>
        <w:t>方式向买方支付违约金或赔偿金。</w:t>
      </w:r>
    </w:p>
    <w:p>
      <w:pPr>
        <w:keepNext w:val="0"/>
        <w:keepLines w:val="0"/>
        <w:pageBreakBefore w:val="0"/>
        <w:widowControl w:val="0"/>
        <w:kinsoku/>
        <w:wordWrap/>
        <w:overflowPunct/>
        <w:topLinePunct w:val="0"/>
        <w:autoSpaceDE/>
        <w:autoSpaceDN/>
        <w:bidi w:val="0"/>
        <w:adjustRightInd/>
        <w:snapToGrid w:val="0"/>
        <w:spacing w:before="0" w:beforeLines="0" w:afterLines="0" w:line="240" w:lineRule="atLeast"/>
        <w:ind w:firstLine="0" w:firstLineChars="0"/>
        <w:jc w:val="left"/>
        <w:textAlignment w:val="auto"/>
        <w:outlineLvl w:val="0"/>
        <w:rPr>
          <w:rFonts w:hint="eastAsia" w:ascii="宋体" w:hAnsi="宋体" w:eastAsia="宋体" w:cs="宋体"/>
          <w:color w:val="auto"/>
          <w:kern w:val="2"/>
          <w:sz w:val="15"/>
          <w:szCs w:val="15"/>
          <w:highlight w:val="none"/>
          <w:lang w:val="en-US" w:eastAsia="zh-CN" w:bidi="ar-SA"/>
        </w:rPr>
      </w:pPr>
      <w:r>
        <w:rPr>
          <w:rFonts w:hint="eastAsia" w:ascii="宋体" w:hAnsi="宋体" w:eastAsia="宋体" w:cs="宋体"/>
          <w:b/>
          <w:color w:val="auto"/>
          <w:sz w:val="15"/>
          <w:szCs w:val="15"/>
          <w:highlight w:val="none"/>
          <w:u w:val="none"/>
          <w:lang w:val="en-US" w:eastAsia="zh-CN"/>
        </w:rPr>
        <w:t>11.不可抗力</w:t>
      </w:r>
    </w:p>
    <w:p>
      <w:pPr>
        <w:snapToGrid/>
        <w:spacing w:before="0" w:beforeLines="0" w:afterLines="0" w:line="240" w:lineRule="atLeast"/>
        <w:ind w:firstLine="300" w:firstLineChars="200"/>
        <w:rPr>
          <w:rStyle w:val="68"/>
          <w:rFonts w:hint="eastAsia" w:ascii="宋体" w:hAnsi="宋体" w:cs="宋体"/>
          <w:color w:val="auto"/>
          <w:sz w:val="15"/>
          <w:szCs w:val="15"/>
          <w:highlight w:val="none"/>
          <w:shd w:val="clear" w:color="auto" w:fill="FFFFFF"/>
        </w:rPr>
      </w:pPr>
      <w:r>
        <w:rPr>
          <w:rFonts w:hint="eastAsia" w:ascii="宋体" w:hAnsi="宋体" w:eastAsia="宋体" w:cs="宋体"/>
          <w:color w:val="auto"/>
          <w:kern w:val="2"/>
          <w:sz w:val="15"/>
          <w:szCs w:val="15"/>
          <w:highlight w:val="none"/>
          <w:lang w:val="en-US" w:eastAsia="zh-CN" w:bidi="ar-SA"/>
        </w:rPr>
        <w:t>11.1如果任何一方因不可抗力（战争，严重火灾、台风、地震、洪水以及其他任何不能预见、不能避免且不能克服的事件）影响无法履行合同义务或延迟履行合同义务，则受影响的一方应在事故发生后3个工作日内书面通知另一方，说明事故情况和延迟原因。在不可抗力存在的期间内，合同工作暂停，受事故影响的一方对另一方的损失不负有责任。</w:t>
      </w:r>
    </w:p>
    <w:p>
      <w:pPr>
        <w:snapToGrid w:val="0"/>
        <w:spacing w:before="0" w:beforeLines="0" w:afterLines="0" w:line="240" w:lineRule="atLeast"/>
        <w:outlineLvl w:val="0"/>
        <w:rPr>
          <w:rFonts w:hint="eastAsia" w:ascii="宋体" w:hAnsi="宋体" w:cs="宋体"/>
          <w:b/>
          <w:color w:val="auto"/>
          <w:sz w:val="15"/>
          <w:szCs w:val="15"/>
          <w:highlight w:val="none"/>
        </w:rPr>
      </w:pPr>
      <w:bookmarkStart w:id="174" w:name="_Toc32050"/>
      <w:r>
        <w:rPr>
          <w:rFonts w:hint="eastAsia" w:ascii="宋体" w:hAnsi="宋体" w:cs="宋体"/>
          <w:b/>
          <w:color w:val="auto"/>
          <w:sz w:val="15"/>
          <w:szCs w:val="15"/>
          <w:highlight w:val="none"/>
        </w:rPr>
        <w:t>1</w:t>
      </w:r>
      <w:r>
        <w:rPr>
          <w:rFonts w:hint="eastAsia" w:ascii="宋体" w:hAnsi="宋体" w:cs="宋体"/>
          <w:b/>
          <w:color w:val="auto"/>
          <w:sz w:val="15"/>
          <w:szCs w:val="15"/>
          <w:highlight w:val="none"/>
          <w:lang w:val="en-US" w:eastAsia="zh-CN"/>
        </w:rPr>
        <w:t>2</w:t>
      </w:r>
      <w:r>
        <w:rPr>
          <w:rFonts w:hint="eastAsia" w:ascii="宋体" w:hAnsi="宋体" w:cs="宋体"/>
          <w:b/>
          <w:color w:val="auto"/>
          <w:sz w:val="15"/>
          <w:szCs w:val="15"/>
          <w:highlight w:val="none"/>
        </w:rPr>
        <w:t>.争议解决</w:t>
      </w:r>
      <w:bookmarkEnd w:id="174"/>
    </w:p>
    <w:p>
      <w:pPr>
        <w:snapToGrid w:val="0"/>
        <w:spacing w:before="0" w:beforeLines="0" w:afterLines="0" w:line="240" w:lineRule="atLeast"/>
        <w:ind w:firstLine="300" w:firstLineChars="200"/>
        <w:rPr>
          <w:rFonts w:hint="eastAsia" w:ascii="宋体" w:hAnsi="宋体" w:cs="宋体"/>
          <w:b/>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2</w:t>
      </w:r>
      <w:r>
        <w:rPr>
          <w:rFonts w:hint="eastAsia" w:ascii="宋体" w:hAnsi="宋体" w:cs="宋体"/>
          <w:color w:val="auto"/>
          <w:sz w:val="15"/>
          <w:szCs w:val="15"/>
          <w:highlight w:val="none"/>
        </w:rPr>
        <w:t>.1因履行本合同所发生的所有争议，如果双方不能协商一致，任何一方提起的诉讼均由买方所在地人民法院管辖。</w:t>
      </w:r>
    </w:p>
    <w:p>
      <w:pPr>
        <w:snapToGrid w:val="0"/>
        <w:spacing w:before="0" w:beforeLines="0" w:afterLines="0" w:line="240" w:lineRule="atLeast"/>
        <w:outlineLvl w:val="0"/>
        <w:rPr>
          <w:rFonts w:hint="eastAsia" w:ascii="宋体" w:hAnsi="宋体" w:cs="宋体"/>
          <w:b/>
          <w:color w:val="auto"/>
          <w:sz w:val="15"/>
          <w:szCs w:val="15"/>
          <w:highlight w:val="none"/>
        </w:rPr>
      </w:pPr>
      <w:bookmarkStart w:id="175" w:name="_Toc1375"/>
      <w:r>
        <w:rPr>
          <w:rFonts w:hint="eastAsia" w:ascii="宋体" w:hAnsi="宋体" w:cs="宋体"/>
          <w:b/>
          <w:color w:val="auto"/>
          <w:sz w:val="15"/>
          <w:szCs w:val="15"/>
          <w:highlight w:val="none"/>
        </w:rPr>
        <w:t>1</w:t>
      </w:r>
      <w:r>
        <w:rPr>
          <w:rFonts w:hint="eastAsia" w:ascii="宋体" w:hAnsi="宋体" w:cs="宋体"/>
          <w:b/>
          <w:color w:val="auto"/>
          <w:sz w:val="15"/>
          <w:szCs w:val="15"/>
          <w:highlight w:val="none"/>
          <w:lang w:val="en-US" w:eastAsia="zh-CN"/>
        </w:rPr>
        <w:t>3</w:t>
      </w:r>
      <w:r>
        <w:rPr>
          <w:rFonts w:hint="eastAsia" w:ascii="宋体" w:hAnsi="宋体" w:cs="宋体"/>
          <w:b/>
          <w:color w:val="auto"/>
          <w:sz w:val="15"/>
          <w:szCs w:val="15"/>
          <w:highlight w:val="none"/>
        </w:rPr>
        <w:t>.通知与送达</w:t>
      </w:r>
      <w:bookmarkEnd w:id="175"/>
    </w:p>
    <w:p>
      <w:pPr>
        <w:snapToGrid w:val="0"/>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3</w:t>
      </w:r>
      <w:r>
        <w:rPr>
          <w:rFonts w:hint="eastAsia" w:ascii="宋体" w:hAnsi="宋体" w:cs="宋体"/>
          <w:color w:val="auto"/>
          <w:sz w:val="15"/>
          <w:szCs w:val="15"/>
          <w:highlight w:val="none"/>
        </w:rPr>
        <w:t>.1任何一方发出的书面通知（应以合同语言书就）及文件，均应以信函邮寄或电子邮件方式送达至本合同所列的地址并以到达接收方地址或接收方服务器时视为送达。任一方变更接收地址，均应及时书面通知另一方，否则视为未变更。</w:t>
      </w:r>
    </w:p>
    <w:p>
      <w:pPr>
        <w:snapToGrid w:val="0"/>
        <w:spacing w:before="0" w:beforeLines="0" w:afterLines="0" w:line="240" w:lineRule="atLeast"/>
        <w:ind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3</w:t>
      </w:r>
      <w:r>
        <w:rPr>
          <w:rFonts w:hint="eastAsia" w:ascii="宋体" w:hAnsi="宋体" w:cs="宋体"/>
          <w:color w:val="auto"/>
          <w:sz w:val="15"/>
          <w:szCs w:val="15"/>
          <w:highlight w:val="none"/>
        </w:rPr>
        <w:t>.2除非通知中另有规定，接收方均应在收到通知后</w:t>
      </w:r>
      <w:r>
        <w:rPr>
          <w:rFonts w:hint="eastAsia" w:ascii="宋体" w:hAnsi="宋体" w:cs="宋体"/>
          <w:color w:val="auto"/>
          <w:sz w:val="15"/>
          <w:szCs w:val="15"/>
          <w:highlight w:val="none"/>
          <w:lang w:val="en-US" w:eastAsia="zh-CN"/>
        </w:rPr>
        <w:t>3</w:t>
      </w:r>
      <w:r>
        <w:rPr>
          <w:rFonts w:hint="eastAsia" w:ascii="宋体" w:hAnsi="宋体" w:cs="宋体"/>
          <w:color w:val="auto"/>
          <w:sz w:val="15"/>
          <w:szCs w:val="15"/>
          <w:highlight w:val="none"/>
        </w:rPr>
        <w:t>个工作日内书面回复通知方，未答复将视为该通知已被确认并接受，通知方可按通知处理相关事宜。纸质通知应由发出方相应人员签字并加盖发出方印章</w:t>
      </w:r>
      <w:r>
        <w:rPr>
          <w:rFonts w:hint="eastAsia" w:ascii="宋体" w:hAnsi="宋体" w:cs="宋体"/>
          <w:color w:val="auto"/>
          <w:sz w:val="15"/>
          <w:szCs w:val="15"/>
          <w:highlight w:val="none"/>
          <w:lang w:eastAsia="zh-CN"/>
        </w:rPr>
        <w:t>。</w:t>
      </w:r>
    </w:p>
    <w:p>
      <w:pPr>
        <w:keepNext w:val="0"/>
        <w:keepLines w:val="0"/>
        <w:pageBreakBefore w:val="0"/>
        <w:widowControl w:val="0"/>
        <w:tabs>
          <w:tab w:val="left" w:pos="3180"/>
        </w:tabs>
        <w:kinsoku/>
        <w:wordWrap/>
        <w:overflowPunct/>
        <w:topLinePunct w:val="0"/>
        <w:autoSpaceDE/>
        <w:autoSpaceDN/>
        <w:bidi w:val="0"/>
        <w:adjustRightInd/>
        <w:snapToGrid/>
        <w:spacing w:before="0" w:beforeLines="0" w:afterLines="0" w:line="240" w:lineRule="atLeast"/>
        <w:ind w:firstLine="300" w:firstLineChars="200"/>
        <w:textAlignment w:val="auto"/>
        <w:rPr>
          <w:rFonts w:hint="eastAsia" w:ascii="宋体" w:hAnsi="宋体" w:cs="宋体"/>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3</w:t>
      </w:r>
      <w:r>
        <w:rPr>
          <w:rFonts w:hint="eastAsia" w:ascii="宋体" w:hAnsi="宋体" w:cs="宋体"/>
          <w:color w:val="auto"/>
          <w:sz w:val="15"/>
          <w:szCs w:val="15"/>
          <w:highlight w:val="none"/>
        </w:rPr>
        <w:t>.3本合同项下技术与质量标准涉及的相关文件将由买方通过信函邮寄或电子邮件方式向卖方发布并送达，卖方确认自买方在信函邮寄或电子邮件方式发布之次日起已接收对应技术文件并将受之约束。</w:t>
      </w:r>
    </w:p>
    <w:p>
      <w:pPr>
        <w:snapToGrid w:val="0"/>
        <w:spacing w:before="0" w:beforeLines="0" w:afterLines="0" w:line="240" w:lineRule="atLeast"/>
        <w:ind w:left="0" w:leftChars="0"/>
        <w:outlineLvl w:val="0"/>
        <w:rPr>
          <w:rFonts w:hint="eastAsia" w:ascii="宋体" w:hAnsi="宋体" w:cs="宋体"/>
          <w:color w:val="auto"/>
          <w:sz w:val="15"/>
          <w:szCs w:val="15"/>
          <w:highlight w:val="none"/>
        </w:rPr>
      </w:pPr>
      <w:bookmarkStart w:id="176" w:name="_Toc9045"/>
      <w:bookmarkStart w:id="177" w:name="_Toc125536125"/>
      <w:bookmarkStart w:id="178" w:name="_Toc111350313"/>
      <w:bookmarkStart w:id="179" w:name="_Toc175041885"/>
      <w:r>
        <w:rPr>
          <w:rFonts w:hint="eastAsia" w:ascii="宋体" w:hAnsi="宋体" w:cs="宋体"/>
          <w:b/>
          <w:color w:val="auto"/>
          <w:sz w:val="15"/>
          <w:szCs w:val="15"/>
          <w:highlight w:val="none"/>
        </w:rPr>
        <w:t>1</w:t>
      </w:r>
      <w:r>
        <w:rPr>
          <w:rFonts w:hint="eastAsia" w:ascii="宋体" w:hAnsi="宋体" w:cs="宋体"/>
          <w:b/>
          <w:color w:val="auto"/>
          <w:sz w:val="15"/>
          <w:szCs w:val="15"/>
          <w:highlight w:val="none"/>
          <w:lang w:val="en-US" w:eastAsia="zh-CN"/>
        </w:rPr>
        <w:t>4</w:t>
      </w:r>
      <w:r>
        <w:rPr>
          <w:rFonts w:hint="eastAsia" w:ascii="宋体" w:hAnsi="宋体" w:cs="宋体"/>
          <w:b/>
          <w:color w:val="auto"/>
          <w:sz w:val="15"/>
          <w:szCs w:val="15"/>
          <w:highlight w:val="none"/>
        </w:rPr>
        <w:t>.其他约定</w:t>
      </w:r>
      <w:bookmarkEnd w:id="176"/>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4</w:t>
      </w:r>
      <w:r>
        <w:rPr>
          <w:rFonts w:hint="eastAsia" w:ascii="宋体" w:hAnsi="宋体" w:cs="宋体"/>
          <w:color w:val="auto"/>
          <w:sz w:val="15"/>
          <w:szCs w:val="15"/>
          <w:highlight w:val="none"/>
        </w:rPr>
        <w:t>.1合同附件均为本合同的组成部分，合同附件与合同正文冲突时，除非合同中另有明确约定，否则应以合同正文条款为准。</w:t>
      </w:r>
    </w:p>
    <w:p>
      <w:pPr>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4</w:t>
      </w:r>
      <w:r>
        <w:rPr>
          <w:rFonts w:hint="eastAsia" w:ascii="宋体" w:hAnsi="宋体" w:cs="宋体"/>
          <w:color w:val="auto"/>
          <w:sz w:val="15"/>
          <w:szCs w:val="15"/>
          <w:highlight w:val="none"/>
        </w:rPr>
        <w:t>.2卖方不得擅自将买方的品牌（包括但不限于商标、字号、标识等）内容用于广告宣传或业务推销等活动；若需使用，需经买方书面授权，并事先将宣传样本等有关内容提交买方确认。否则，买方有权解除合同，并要求卖方立即停止一切宣传等活动，积极消除对买方造成的不良影响，向买方一次性支付合同总额</w:t>
      </w:r>
      <w:r>
        <w:rPr>
          <w:rFonts w:hint="eastAsia" w:ascii="宋体" w:hAnsi="宋体" w:cs="宋体"/>
          <w:color w:val="auto"/>
          <w:sz w:val="15"/>
          <w:szCs w:val="15"/>
          <w:highlight w:val="none"/>
          <w:lang w:val="en-US" w:eastAsia="zh-CN"/>
        </w:rPr>
        <w:t>100</w:t>
      </w:r>
      <w:r>
        <w:rPr>
          <w:rFonts w:hint="eastAsia" w:ascii="宋体" w:hAnsi="宋体" w:cs="宋体"/>
          <w:color w:val="auto"/>
          <w:sz w:val="15"/>
          <w:szCs w:val="15"/>
          <w:highlight w:val="none"/>
        </w:rPr>
        <w:t>%的违约金，该违约金不足以弥补买方损失的，卖方还应另外予以赔偿。同时，卖方应对其自身行为承担全部法律责任。</w:t>
      </w:r>
    </w:p>
    <w:p>
      <w:pPr>
        <w:autoSpaceDE/>
        <w:autoSpaceDN/>
        <w:adjustRightInd/>
        <w:snapToGrid w:val="0"/>
        <w:spacing w:before="0" w:beforeLines="0" w:afterLines="0" w:line="240" w:lineRule="atLeast"/>
        <w:ind w:firstLine="300" w:firstLineChars="200"/>
        <w:jc w:val="left"/>
        <w:rPr>
          <w:rFonts w:hint="eastAsia" w:ascii="宋体" w:hAnsi="宋体" w:cs="宋体"/>
          <w:color w:val="auto"/>
          <w:sz w:val="15"/>
          <w:szCs w:val="15"/>
          <w:highlight w:val="none"/>
        </w:rPr>
      </w:pPr>
      <w:bookmarkStart w:id="180" w:name="mark_007"/>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4</w:t>
      </w:r>
      <w:r>
        <w:rPr>
          <w:rFonts w:hint="eastAsia" w:ascii="宋体" w:hAnsi="宋体" w:cs="宋体"/>
          <w:color w:val="auto"/>
          <w:sz w:val="15"/>
          <w:szCs w:val="15"/>
          <w:highlight w:val="none"/>
        </w:rPr>
        <w:t>.</w:t>
      </w:r>
      <w:r>
        <w:rPr>
          <w:rFonts w:hint="eastAsia" w:ascii="宋体" w:hAnsi="宋体" w:cs="宋体"/>
          <w:color w:val="auto"/>
          <w:sz w:val="15"/>
          <w:szCs w:val="15"/>
          <w:highlight w:val="none"/>
          <w:lang w:val="en-US" w:eastAsia="zh-CN"/>
        </w:rPr>
        <w:t>3卖方</w:t>
      </w:r>
      <w:r>
        <w:rPr>
          <w:rFonts w:hint="eastAsia" w:ascii="宋体" w:hAnsi="宋体" w:cs="宋体"/>
          <w:color w:val="auto"/>
          <w:sz w:val="15"/>
          <w:szCs w:val="15"/>
          <w:highlight w:val="none"/>
        </w:rPr>
        <w:t>在产品一致性及工艺发生变更时，要书面通知</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并经</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核可后方可批量生产。</w:t>
      </w:r>
    </w:p>
    <w:p>
      <w:pPr>
        <w:widowControl/>
        <w:tabs>
          <w:tab w:val="left" w:pos="3180"/>
        </w:tabs>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14.4</w:t>
      </w:r>
      <w:r>
        <w:rPr>
          <w:rFonts w:hint="eastAsia" w:ascii="宋体" w:hAnsi="宋体" w:cs="宋体"/>
          <w:color w:val="auto"/>
          <w:sz w:val="15"/>
          <w:szCs w:val="15"/>
          <w:highlight w:val="none"/>
        </w:rPr>
        <w:t>如</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交期发生变更，应书面通知</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保留认可或索赔的权利。</w:t>
      </w:r>
    </w:p>
    <w:p>
      <w:pPr>
        <w:widowControl/>
        <w:tabs>
          <w:tab w:val="left" w:pos="3180"/>
        </w:tabs>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14.5</w:t>
      </w:r>
      <w:r>
        <w:rPr>
          <w:rFonts w:hint="eastAsia" w:ascii="宋体" w:hAnsi="宋体" w:cs="宋体"/>
          <w:color w:val="auto"/>
          <w:sz w:val="15"/>
          <w:szCs w:val="15"/>
          <w:highlight w:val="none"/>
        </w:rPr>
        <w:t>如</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产品质量不能满足要求时，</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应提前通知</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保留接受或不认可的权利。</w:t>
      </w:r>
    </w:p>
    <w:p>
      <w:pPr>
        <w:widowControl/>
        <w:tabs>
          <w:tab w:val="left" w:pos="3180"/>
        </w:tabs>
        <w:snapToGrid w:val="0"/>
        <w:spacing w:before="0" w:beforeLines="0" w:afterLines="0" w:line="240" w:lineRule="atLeast"/>
        <w:ind w:left="0" w:leftChars="0" w:firstLine="300" w:firstLineChars="200"/>
        <w:rPr>
          <w:rFonts w:hint="default"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14.6本合同自双方签订之日起生效，双方签字盖章后的扫描件有效。</w:t>
      </w:r>
    </w:p>
    <w:p>
      <w:pPr>
        <w:autoSpaceDE/>
        <w:autoSpaceDN/>
        <w:adjustRightInd/>
        <w:snapToGrid w:val="0"/>
        <w:spacing w:before="0" w:beforeLines="0" w:afterLines="0" w:line="240" w:lineRule="atLeast"/>
        <w:ind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14.7</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应尽力采取措施不使用有毒物质，禁止使用石棉制品，保证货物不含冲突矿产物质，按照ISO14000的要求制定环境保护制度，按照</w:t>
      </w:r>
      <w:r>
        <w:rPr>
          <w:rFonts w:hint="eastAsia" w:ascii="宋体" w:hAnsi="宋体" w:cs="宋体"/>
          <w:color w:val="auto"/>
          <w:sz w:val="15"/>
          <w:szCs w:val="15"/>
          <w:highlight w:val="none"/>
          <w:lang w:eastAsia="zh-CN"/>
        </w:rPr>
        <w:t>ISO45001</w:t>
      </w:r>
      <w:r>
        <w:rPr>
          <w:rFonts w:hint="eastAsia" w:ascii="宋体" w:hAnsi="宋体" w:cs="宋体"/>
          <w:color w:val="auto"/>
          <w:sz w:val="15"/>
          <w:szCs w:val="15"/>
          <w:highlight w:val="none"/>
        </w:rPr>
        <w:t>要求制定职业健康安全方面的制度。按照ISO9001的要求制定质量管理体系制度。遵守国际公约的相关规定。</w:t>
      </w:r>
    </w:p>
    <w:p>
      <w:pPr>
        <w:widowControl/>
        <w:tabs>
          <w:tab w:val="left" w:pos="3180"/>
        </w:tabs>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14.8</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及其用户或执法机构有权检查</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的生产过程、工艺过程、必要的生产设施、相关记录等。</w:t>
      </w:r>
    </w:p>
    <w:p>
      <w:pPr>
        <w:widowControl/>
        <w:tabs>
          <w:tab w:val="left" w:pos="3180"/>
        </w:tabs>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14.9</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负责向其下级</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传达</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的技术要求等相关要求。</w:t>
      </w:r>
    </w:p>
    <w:p>
      <w:pPr>
        <w:widowControl/>
        <w:tabs>
          <w:tab w:val="left" w:pos="3180"/>
        </w:tabs>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14.10</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提供的发票出现税务问题时，</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应承担赔偿责任，包括但不限于税款、滞纳金、罚款及其相关的损失。</w:t>
      </w:r>
    </w:p>
    <w:p>
      <w:pPr>
        <w:widowControl/>
        <w:tabs>
          <w:tab w:val="left" w:pos="3180"/>
        </w:tabs>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14.11</w:t>
      </w:r>
      <w:r>
        <w:rPr>
          <w:rFonts w:hint="eastAsia" w:ascii="宋体" w:hAnsi="宋体" w:cs="宋体"/>
          <w:color w:val="auto"/>
          <w:sz w:val="15"/>
          <w:szCs w:val="15"/>
          <w:highlight w:val="none"/>
        </w:rPr>
        <w:t>如最终用户订单（合同）变更牵涉到本次订购产品，</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书面通知</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在接到</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通知后，应配合进行相应变更，并按照</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的要求提前或延后交付，</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无需额外支付费用。</w:t>
      </w:r>
    </w:p>
    <w:p>
      <w:pPr>
        <w:autoSpaceDE/>
        <w:autoSpaceDN/>
        <w:adjustRightInd/>
        <w:snapToGrid w:val="0"/>
        <w:spacing w:before="0" w:beforeLines="0" w:afterLines="0" w:line="240" w:lineRule="atLeast"/>
        <w:ind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14.12</w:t>
      </w:r>
      <w:r>
        <w:rPr>
          <w:rFonts w:hint="eastAsia" w:ascii="宋体" w:hAnsi="宋体" w:cs="宋体"/>
          <w:color w:val="auto"/>
          <w:sz w:val="15"/>
          <w:szCs w:val="15"/>
          <w:highlight w:val="none"/>
        </w:rPr>
        <w:t>如最终用户终止订单/合同，</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有权变更相应订购产品采购数量或终止采购，相应变更由</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在不低于采购周期的时间以书面方式通知</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须配合进行相应变更，</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无需额外支付费用。</w:t>
      </w:r>
    </w:p>
    <w:p>
      <w:pPr>
        <w:autoSpaceDE/>
        <w:autoSpaceDN/>
        <w:adjustRightInd/>
        <w:snapToGrid w:val="0"/>
        <w:spacing w:before="0" w:beforeLines="0" w:afterLines="0" w:line="240" w:lineRule="atLeast"/>
        <w:ind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14.13</w:t>
      </w:r>
      <w:r>
        <w:rPr>
          <w:rFonts w:hint="eastAsia" w:ascii="宋体" w:hAnsi="宋体" w:cs="宋体"/>
          <w:color w:val="auto"/>
          <w:sz w:val="15"/>
          <w:szCs w:val="15"/>
          <w:highlight w:val="none"/>
        </w:rPr>
        <w:t>在产品质量保证期届满后，</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需随时以最优惠的价格提供该产品及该产品使用的易损件/消耗性材料，并保证该产品备品备件</w:t>
      </w:r>
      <w:r>
        <w:rPr>
          <w:rFonts w:hint="eastAsia" w:ascii="宋体" w:hAnsi="宋体" w:cs="宋体"/>
          <w:color w:val="auto"/>
          <w:sz w:val="15"/>
          <w:szCs w:val="15"/>
          <w:highlight w:val="none"/>
          <w:lang w:val="en-US" w:eastAsia="zh-CN"/>
        </w:rPr>
        <w:t>35</w:t>
      </w:r>
      <w:r>
        <w:rPr>
          <w:rFonts w:hint="eastAsia" w:ascii="宋体" w:hAnsi="宋体" w:cs="宋体"/>
          <w:color w:val="auto"/>
          <w:sz w:val="15"/>
          <w:szCs w:val="15"/>
          <w:highlight w:val="none"/>
        </w:rPr>
        <w:t>年内及时供应，如有变更需提</w:t>
      </w:r>
      <w:r>
        <w:rPr>
          <w:rFonts w:hint="eastAsia" w:ascii="宋体" w:hAnsi="宋体" w:cs="宋体"/>
          <w:color w:val="auto"/>
          <w:sz w:val="15"/>
          <w:szCs w:val="15"/>
          <w:highlight w:val="none"/>
          <w:lang w:eastAsia="zh-CN"/>
        </w:rPr>
        <w:t>前一年</w:t>
      </w:r>
      <w:r>
        <w:rPr>
          <w:rFonts w:hint="eastAsia" w:ascii="宋体" w:hAnsi="宋体" w:cs="宋体"/>
          <w:color w:val="auto"/>
          <w:sz w:val="15"/>
          <w:szCs w:val="15"/>
          <w:highlight w:val="none"/>
        </w:rPr>
        <w:t>通知</w:t>
      </w:r>
      <w:r>
        <w:rPr>
          <w:rFonts w:hint="eastAsia" w:ascii="宋体" w:hAnsi="宋体" w:cs="宋体"/>
          <w:color w:val="auto"/>
          <w:sz w:val="15"/>
          <w:szCs w:val="15"/>
          <w:highlight w:val="none"/>
          <w:lang w:eastAsia="zh-CN"/>
        </w:rPr>
        <w:t>买方</w:t>
      </w:r>
      <w:r>
        <w:rPr>
          <w:rFonts w:hint="eastAsia" w:ascii="宋体" w:hAnsi="宋体" w:cs="宋体"/>
          <w:color w:val="auto"/>
          <w:sz w:val="15"/>
          <w:szCs w:val="15"/>
          <w:highlight w:val="none"/>
        </w:rPr>
        <w:t>，以保障车辆运营维修的要求。</w:t>
      </w:r>
    </w:p>
    <w:p>
      <w:pPr>
        <w:autoSpaceDE/>
        <w:autoSpaceDN/>
        <w:adjustRightInd/>
        <w:snapToGrid w:val="0"/>
        <w:spacing w:before="0" w:beforeLines="0" w:afterLines="0" w:line="240" w:lineRule="atLeast"/>
        <w:ind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14.14</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需遵守国祥公司供应商行为守则承诺书。</w:t>
      </w:r>
    </w:p>
    <w:p>
      <w:pPr>
        <w:autoSpaceDE/>
        <w:autoSpaceDN/>
        <w:adjustRightInd/>
        <w:snapToGrid w:val="0"/>
        <w:spacing w:before="0" w:beforeLines="0" w:afterLines="0" w:line="240" w:lineRule="atLeast"/>
        <w:ind w:firstLine="300" w:firstLineChars="200"/>
        <w:jc w:val="left"/>
        <w:rPr>
          <w:rFonts w:hint="default" w:ascii="宋体" w:hAnsi="宋体" w:eastAsia="宋体" w:cs="宋体"/>
          <w:color w:val="auto"/>
          <w:sz w:val="15"/>
          <w:szCs w:val="15"/>
          <w:highlight w:val="none"/>
          <w:lang w:val="en-US" w:eastAsia="zh-CN"/>
        </w:rPr>
      </w:pPr>
      <w:r>
        <w:rPr>
          <w:rFonts w:hint="eastAsia" w:ascii="宋体" w:hAnsi="宋体" w:cs="宋体"/>
          <w:color w:val="auto"/>
          <w:sz w:val="15"/>
          <w:szCs w:val="15"/>
          <w:highlight w:val="none"/>
          <w:lang w:val="en-US" w:eastAsia="zh-CN"/>
        </w:rPr>
        <w:t>14.15</w:t>
      </w:r>
      <w:r>
        <w:rPr>
          <w:rFonts w:hint="eastAsia" w:ascii="宋体" w:hAnsi="宋体" w:cs="宋体"/>
          <w:color w:val="auto"/>
          <w:sz w:val="15"/>
          <w:szCs w:val="15"/>
          <w:highlight w:val="none"/>
        </w:rPr>
        <w:t>人员资质、设备等其他特殊要求：</w:t>
      </w:r>
      <w:r>
        <w:rPr>
          <w:rFonts w:hint="eastAsia" w:ascii="宋体" w:hAnsi="宋体" w:cs="宋体"/>
          <w:color w:val="auto"/>
          <w:sz w:val="15"/>
          <w:szCs w:val="15"/>
          <w:highlight w:val="none"/>
          <w:lang w:eastAsia="zh-CN"/>
        </w:rPr>
        <w:t>是</w:t>
      </w:r>
      <w:r>
        <w:rPr>
          <w:rFonts w:hint="eastAsia" w:ascii="宋体" w:hAnsi="宋体" w:cs="宋体"/>
          <w:color w:val="auto"/>
          <w:sz w:val="15"/>
          <w:szCs w:val="15"/>
          <w:highlight w:val="none"/>
          <w:lang w:val="en-US" w:eastAsia="zh-CN"/>
        </w:rPr>
        <w:t>/否</w:t>
      </w:r>
    </w:p>
    <w:p>
      <w:pPr>
        <w:widowControl/>
        <w:tabs>
          <w:tab w:val="left" w:pos="3180"/>
        </w:tabs>
        <w:snapToGrid w:val="0"/>
        <w:spacing w:before="0" w:beforeLines="0" w:after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s="宋体"/>
          <w:color w:val="auto"/>
          <w:sz w:val="15"/>
          <w:szCs w:val="15"/>
          <w:highlight w:val="none"/>
          <w:lang w:val="en-US" w:eastAsia="zh-CN"/>
        </w:rPr>
        <w:t>14.16</w:t>
      </w:r>
      <w:r>
        <w:rPr>
          <w:rFonts w:hint="eastAsia" w:ascii="宋体" w:hAnsi="宋体" w:cs="宋体"/>
          <w:color w:val="auto"/>
          <w:sz w:val="15"/>
          <w:szCs w:val="15"/>
          <w:highlight w:val="none"/>
          <w:lang w:eastAsia="zh-CN"/>
        </w:rPr>
        <w:t>卖方</w:t>
      </w:r>
      <w:r>
        <w:rPr>
          <w:rFonts w:hint="eastAsia" w:ascii="宋体" w:hAnsi="宋体" w:cs="宋体"/>
          <w:color w:val="auto"/>
          <w:sz w:val="15"/>
          <w:szCs w:val="15"/>
          <w:highlight w:val="none"/>
        </w:rPr>
        <w:t>所供产品是否为关键产品：</w:t>
      </w:r>
      <w:r>
        <w:rPr>
          <w:rFonts w:hint="eastAsia" w:ascii="宋体" w:hAnsi="宋体" w:cs="宋体"/>
          <w:color w:val="auto"/>
          <w:sz w:val="15"/>
          <w:szCs w:val="15"/>
          <w:highlight w:val="none"/>
          <w:lang w:eastAsia="zh-CN"/>
        </w:rPr>
        <w:t>是</w:t>
      </w:r>
      <w:r>
        <w:rPr>
          <w:rFonts w:hint="eastAsia" w:ascii="宋体" w:hAnsi="宋体" w:cs="宋体"/>
          <w:color w:val="auto"/>
          <w:sz w:val="15"/>
          <w:szCs w:val="15"/>
          <w:highlight w:val="none"/>
          <w:lang w:val="en-US" w:eastAsia="zh-CN"/>
        </w:rPr>
        <w:t>/否</w:t>
      </w:r>
    </w:p>
    <w:bookmarkEnd w:id="180"/>
    <w:p>
      <w:pPr>
        <w:spacing w:before="0" w:beforeLines="0" w:afterLines="0" w:line="240" w:lineRule="atLeast"/>
        <w:ind w:left="0" w:leftChars="0"/>
        <w:outlineLvl w:val="0"/>
        <w:rPr>
          <w:rFonts w:hint="eastAsia" w:ascii="宋体" w:hAnsi="宋体" w:cs="宋体"/>
          <w:color w:val="auto"/>
          <w:sz w:val="15"/>
          <w:szCs w:val="15"/>
          <w:highlight w:val="none"/>
        </w:rPr>
      </w:pPr>
      <w:bookmarkStart w:id="181" w:name="_Toc24474"/>
      <w:r>
        <w:rPr>
          <w:rFonts w:hint="eastAsia" w:ascii="宋体" w:hAnsi="宋体" w:cs="宋体"/>
          <w:b/>
          <w:color w:val="auto"/>
          <w:sz w:val="15"/>
          <w:szCs w:val="15"/>
          <w:highlight w:val="none"/>
        </w:rPr>
        <w:t>1</w:t>
      </w:r>
      <w:r>
        <w:rPr>
          <w:rFonts w:hint="eastAsia" w:ascii="宋体" w:hAnsi="宋体" w:cs="宋体"/>
          <w:b/>
          <w:color w:val="auto"/>
          <w:sz w:val="15"/>
          <w:szCs w:val="15"/>
          <w:highlight w:val="none"/>
          <w:lang w:val="en-US" w:eastAsia="zh-CN"/>
        </w:rPr>
        <w:t>5</w:t>
      </w:r>
      <w:r>
        <w:rPr>
          <w:rFonts w:hint="eastAsia" w:ascii="宋体" w:hAnsi="宋体" w:cs="宋体"/>
          <w:b/>
          <w:color w:val="auto"/>
          <w:sz w:val="15"/>
          <w:szCs w:val="15"/>
          <w:highlight w:val="none"/>
        </w:rPr>
        <w:t>.合同生效</w:t>
      </w:r>
      <w:bookmarkEnd w:id="177"/>
      <w:bookmarkEnd w:id="178"/>
      <w:bookmarkEnd w:id="179"/>
      <w:bookmarkEnd w:id="181"/>
    </w:p>
    <w:p>
      <w:pPr>
        <w:snapToGrid w:val="0"/>
        <w:spacing w:before="0" w:beforeLines="0" w:afterLines="0" w:line="240" w:lineRule="atLeast"/>
        <w:ind w:left="0" w:leftChars="0"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5</w:t>
      </w:r>
      <w:r>
        <w:rPr>
          <w:rFonts w:hint="eastAsia" w:ascii="宋体" w:hAnsi="宋体" w:cs="宋体"/>
          <w:color w:val="auto"/>
          <w:sz w:val="15"/>
          <w:szCs w:val="15"/>
          <w:highlight w:val="none"/>
        </w:rPr>
        <w:t>.1本合同自双方代表签字并加盖双方印章，至双方权利义务履行完毕之日终止。本合同一式</w:t>
      </w:r>
      <w:r>
        <w:rPr>
          <w:rFonts w:hint="eastAsia" w:ascii="宋体" w:hAnsi="宋体" w:cs="宋体"/>
          <w:color w:val="auto"/>
          <w:sz w:val="15"/>
          <w:szCs w:val="15"/>
          <w:highlight w:val="none"/>
          <w:lang w:eastAsia="zh-CN"/>
        </w:rPr>
        <w:t>肆</w:t>
      </w:r>
      <w:r>
        <w:rPr>
          <w:rFonts w:hint="eastAsia" w:ascii="宋体" w:hAnsi="宋体" w:cs="宋体"/>
          <w:color w:val="auto"/>
          <w:sz w:val="15"/>
          <w:szCs w:val="15"/>
          <w:highlight w:val="none"/>
        </w:rPr>
        <w:t>份（买方执</w:t>
      </w:r>
      <w:r>
        <w:rPr>
          <w:rFonts w:hint="eastAsia" w:ascii="宋体" w:hAnsi="宋体" w:cs="宋体"/>
          <w:color w:val="auto"/>
          <w:sz w:val="15"/>
          <w:szCs w:val="15"/>
          <w:highlight w:val="none"/>
          <w:lang w:eastAsia="zh-CN"/>
        </w:rPr>
        <w:t>贰</w:t>
      </w:r>
      <w:r>
        <w:rPr>
          <w:rFonts w:hint="eastAsia" w:ascii="宋体" w:hAnsi="宋体" w:cs="宋体"/>
          <w:color w:val="auto"/>
          <w:sz w:val="15"/>
          <w:szCs w:val="15"/>
          <w:highlight w:val="none"/>
        </w:rPr>
        <w:t>份，卖方执</w:t>
      </w:r>
      <w:r>
        <w:rPr>
          <w:rFonts w:hint="eastAsia" w:ascii="宋体" w:hAnsi="宋体" w:cs="宋体"/>
          <w:color w:val="auto"/>
          <w:sz w:val="15"/>
          <w:szCs w:val="15"/>
          <w:highlight w:val="none"/>
          <w:lang w:eastAsia="zh-CN"/>
        </w:rPr>
        <w:t>贰</w:t>
      </w:r>
      <w:r>
        <w:rPr>
          <w:rFonts w:hint="eastAsia" w:ascii="宋体" w:hAnsi="宋体" w:cs="宋体"/>
          <w:color w:val="auto"/>
          <w:sz w:val="15"/>
          <w:szCs w:val="15"/>
          <w:highlight w:val="none"/>
        </w:rPr>
        <w:t>份），具有同等法律效力。</w:t>
      </w:r>
    </w:p>
    <w:p>
      <w:pPr>
        <w:tabs>
          <w:tab w:val="left" w:pos="3180"/>
        </w:tabs>
        <w:snapToGrid w:val="0"/>
        <w:spacing w:before="0" w:beforeLines="0" w:afterLines="0" w:line="240" w:lineRule="atLeast"/>
        <w:ind w:left="0" w:leftChars="0"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5</w:t>
      </w:r>
      <w:r>
        <w:rPr>
          <w:rFonts w:hint="eastAsia" w:ascii="宋体" w:hAnsi="宋体" w:cs="宋体"/>
          <w:color w:val="auto"/>
          <w:sz w:val="15"/>
          <w:szCs w:val="15"/>
          <w:highlight w:val="none"/>
        </w:rPr>
        <w:t>.2本合同正文均系打印文字，若出现非打印文字的修改或添加，均须经双方代表签认并加盖双方印章，方被认为有效。</w:t>
      </w:r>
    </w:p>
    <w:p>
      <w:pPr>
        <w:tabs>
          <w:tab w:val="left" w:pos="3180"/>
        </w:tabs>
        <w:snapToGrid w:val="0"/>
        <w:spacing w:before="0" w:beforeLines="0" w:afterLines="0" w:line="240" w:lineRule="atLeast"/>
        <w:ind w:left="0" w:leftChars="0" w:firstLine="300" w:firstLineChars="200"/>
        <w:jc w:val="left"/>
        <w:rPr>
          <w:rFonts w:hint="eastAsia" w:ascii="宋体" w:hAnsi="宋体" w:cs="宋体"/>
          <w:color w:val="auto"/>
          <w:sz w:val="15"/>
          <w:szCs w:val="15"/>
          <w:highlight w:val="none"/>
        </w:rPr>
      </w:pPr>
      <w:r>
        <w:rPr>
          <w:rFonts w:hint="eastAsia" w:ascii="宋体" w:hAnsi="宋体" w:cs="宋体"/>
          <w:color w:val="auto"/>
          <w:sz w:val="15"/>
          <w:szCs w:val="15"/>
          <w:highlight w:val="none"/>
        </w:rPr>
        <w:t>1</w:t>
      </w:r>
      <w:r>
        <w:rPr>
          <w:rFonts w:hint="eastAsia" w:ascii="宋体" w:hAnsi="宋体" w:cs="宋体"/>
          <w:color w:val="auto"/>
          <w:sz w:val="15"/>
          <w:szCs w:val="15"/>
          <w:highlight w:val="none"/>
          <w:lang w:val="en-US" w:eastAsia="zh-CN"/>
        </w:rPr>
        <w:t>5</w:t>
      </w:r>
      <w:r>
        <w:rPr>
          <w:rFonts w:hint="eastAsia" w:ascii="宋体" w:hAnsi="宋体" w:cs="宋体"/>
          <w:color w:val="auto"/>
          <w:sz w:val="15"/>
          <w:szCs w:val="15"/>
          <w:highlight w:val="none"/>
        </w:rPr>
        <w:t>.3本合同文本每页均以双方人员进行页签或以双方印章加盖骑缝章的方式进行确认，一方放弃前述确认方式的，视同认可并接受对方的确认，双方若因所执合同文本不同发生争议，则以被对方确认的合同文本为准。</w:t>
      </w:r>
    </w:p>
    <w:p>
      <w:pPr>
        <w:spacing w:line="240" w:lineRule="atLeast"/>
        <w:rPr>
          <w:rFonts w:hint="eastAsia" w:ascii="宋体" w:hAnsi="宋体"/>
          <w:color w:val="auto"/>
          <w:sz w:val="15"/>
          <w:szCs w:val="15"/>
          <w:highlight w:val="none"/>
        </w:rPr>
      </w:pPr>
    </w:p>
    <w:p>
      <w:pPr>
        <w:tabs>
          <w:tab w:val="left" w:pos="3180"/>
        </w:tabs>
        <w:spacing w:before="0" w:beforeLines="0" w:line="240" w:lineRule="atLeast"/>
        <w:ind w:left="0" w:leftChars="0" w:firstLine="300" w:firstLineChars="200"/>
        <w:rPr>
          <w:rFonts w:hint="eastAsia" w:ascii="宋体" w:hAnsi="宋体" w:cs="宋体"/>
          <w:color w:val="auto"/>
          <w:sz w:val="15"/>
          <w:szCs w:val="15"/>
          <w:highlight w:val="none"/>
        </w:rPr>
      </w:pPr>
      <w:r>
        <w:rPr>
          <w:rFonts w:hint="eastAsia" w:ascii="宋体" w:hAnsi="宋体"/>
          <w:color w:val="auto"/>
          <w:sz w:val="15"/>
          <w:szCs w:val="15"/>
          <w:highlight w:val="none"/>
        </w:rPr>
        <w:t xml:space="preserve">附件：   </w:t>
      </w:r>
    </w:p>
    <w:p>
      <w:pPr>
        <w:spacing w:before="156" w:beforeLines="50" w:line="240" w:lineRule="atLeast"/>
        <w:ind w:left="105" w:leftChars="50" w:firstLine="331" w:firstLineChars="220"/>
        <w:rPr>
          <w:rFonts w:hint="eastAsia" w:ascii="宋体" w:hAnsi="宋体" w:cs="宋体"/>
          <w:b/>
          <w:color w:val="auto"/>
          <w:sz w:val="15"/>
          <w:szCs w:val="15"/>
          <w:highlight w:val="none"/>
        </w:rPr>
      </w:pPr>
    </w:p>
    <w:p>
      <w:pPr>
        <w:spacing w:before="156" w:beforeLines="50" w:line="240" w:lineRule="atLeast"/>
        <w:ind w:left="105" w:leftChars="50" w:firstLine="331" w:firstLineChars="220"/>
        <w:rPr>
          <w:rFonts w:hint="eastAsia" w:ascii="宋体" w:hAnsi="宋体" w:cs="宋体"/>
          <w:color w:val="auto"/>
          <w:sz w:val="15"/>
          <w:szCs w:val="15"/>
          <w:highlight w:val="none"/>
        </w:rPr>
      </w:pPr>
      <w:r>
        <w:rPr>
          <w:rFonts w:hint="eastAsia" w:ascii="宋体" w:hAnsi="宋体" w:cs="宋体"/>
          <w:b/>
          <w:color w:val="auto"/>
          <w:sz w:val="15"/>
          <w:szCs w:val="15"/>
          <w:highlight w:val="none"/>
        </w:rPr>
        <w:t>（以下无正文）</w:t>
      </w:r>
    </w:p>
    <w:p>
      <w:pPr>
        <w:snapToGrid w:val="0"/>
        <w:spacing w:before="156" w:beforeLines="50" w:line="240" w:lineRule="atLeast"/>
        <w:ind w:firstLine="218" w:firstLineChars="145"/>
        <w:rPr>
          <w:rFonts w:hint="eastAsia" w:ascii="宋体" w:hAnsi="宋体" w:cs="宋体"/>
          <w:b/>
          <w:color w:val="auto"/>
          <w:sz w:val="15"/>
          <w:szCs w:val="15"/>
          <w:highlight w:val="none"/>
        </w:rPr>
      </w:pPr>
    </w:p>
    <w:tbl>
      <w:tblPr>
        <w:tblStyle w:val="60"/>
        <w:tblW w:w="9055" w:type="dxa"/>
        <w:jc w:val="center"/>
        <w:tblInd w:w="0" w:type="dxa"/>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
      <w:tblGrid>
        <w:gridCol w:w="4740"/>
        <w:gridCol w:w="4315"/>
      </w:tblGrid>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Ex>
        <w:trPr>
          <w:cantSplit/>
          <w:trHeight w:val="476" w:hRule="atLeast"/>
          <w:jc w:val="center"/>
        </w:trPr>
        <w:tc>
          <w:tcPr>
            <w:tcW w:w="4740" w:type="dxa"/>
            <w:vAlign w:val="center"/>
          </w:tcPr>
          <w:p>
            <w:pPr>
              <w:keepNext w:val="0"/>
              <w:keepLines w:val="0"/>
              <w:suppressLineNumbers w:val="0"/>
              <w:spacing w:before="0" w:beforeAutospacing="0" w:after="0" w:afterAutospacing="0" w:line="240" w:lineRule="atLeast"/>
              <w:ind w:left="745" w:leftChars="354" w:right="893" w:rightChars="425" w:hanging="2"/>
              <w:rPr>
                <w:rFonts w:hint="eastAsia" w:ascii="仿宋" w:hAnsi="仿宋" w:eastAsia="仿宋"/>
                <w:color w:val="auto"/>
                <w:sz w:val="15"/>
                <w:szCs w:val="10"/>
                <w:highlight w:val="none"/>
              </w:rPr>
            </w:pPr>
            <w:bookmarkStart w:id="182" w:name="mark_end"/>
            <w:bookmarkEnd w:id="182"/>
          </w:p>
          <w:p>
            <w:pPr>
              <w:keepNext w:val="0"/>
              <w:keepLines w:val="0"/>
              <w:suppressLineNumbers w:val="0"/>
              <w:tabs>
                <w:tab w:val="left" w:pos="4277"/>
                <w:tab w:val="left" w:pos="4419"/>
              </w:tabs>
              <w:spacing w:before="0" w:beforeAutospacing="0" w:after="0" w:afterAutospacing="0" w:line="240" w:lineRule="atLeast"/>
              <w:ind w:left="0" w:right="386" w:rightChars="184"/>
              <w:rPr>
                <w:rFonts w:hint="eastAsia" w:ascii="仿宋" w:hAnsi="仿宋" w:eastAsia="仿宋"/>
                <w:color w:val="auto"/>
                <w:sz w:val="15"/>
                <w:szCs w:val="10"/>
                <w:highlight w:val="none"/>
              </w:rPr>
            </w:pPr>
            <w:r>
              <w:rPr>
                <w:rFonts w:hint="eastAsia" w:ascii="仿宋" w:hAnsi="仿宋" w:eastAsia="仿宋"/>
                <w:color w:val="auto"/>
                <w:sz w:val="15"/>
                <w:szCs w:val="10"/>
                <w:highlight w:val="none"/>
              </w:rPr>
              <w:t>买方：</w:t>
            </w:r>
            <w:r>
              <w:rPr>
                <w:rFonts w:hint="eastAsia" w:ascii="宋体" w:hAnsi="宋体"/>
                <w:color w:val="auto"/>
                <w:sz w:val="15"/>
                <w:szCs w:val="10"/>
                <w:highlight w:val="none"/>
              </w:rPr>
              <w:t>XXX</w:t>
            </w:r>
            <w:r>
              <w:rPr>
                <w:rFonts w:hint="eastAsia" w:ascii="仿宋" w:hAnsi="仿宋" w:eastAsia="仿宋"/>
                <w:color w:val="auto"/>
                <w:sz w:val="15"/>
                <w:szCs w:val="10"/>
                <w:highlight w:val="none"/>
              </w:rPr>
              <w:t xml:space="preserve"> </w:t>
            </w:r>
          </w:p>
        </w:tc>
        <w:tc>
          <w:tcPr>
            <w:tcW w:w="4315" w:type="dxa"/>
            <w:vAlign w:val="center"/>
          </w:tcPr>
          <w:p>
            <w:pPr>
              <w:keepNext w:val="0"/>
              <w:keepLines w:val="0"/>
              <w:suppressLineNumbers w:val="0"/>
              <w:spacing w:before="0" w:beforeAutospacing="0" w:after="0" w:afterAutospacing="0" w:line="240" w:lineRule="atLeast"/>
              <w:ind w:left="745" w:leftChars="354" w:right="893" w:rightChars="425" w:hanging="2"/>
              <w:rPr>
                <w:rFonts w:hint="eastAsia" w:ascii="仿宋" w:hAnsi="仿宋" w:eastAsia="仿宋"/>
                <w:color w:val="auto"/>
                <w:sz w:val="15"/>
                <w:szCs w:val="10"/>
                <w:highlight w:val="none"/>
              </w:rPr>
            </w:pPr>
          </w:p>
          <w:p>
            <w:pPr>
              <w:keepNext w:val="0"/>
              <w:keepLines w:val="0"/>
              <w:suppressLineNumbers w:val="0"/>
              <w:spacing w:before="0" w:beforeAutospacing="0" w:after="0" w:afterAutospacing="0" w:line="240" w:lineRule="atLeast"/>
              <w:ind w:left="0" w:right="0"/>
              <w:rPr>
                <w:rFonts w:hint="eastAsia" w:ascii="仿宋" w:hAnsi="仿宋" w:eastAsia="仿宋"/>
                <w:color w:val="auto"/>
                <w:sz w:val="15"/>
                <w:szCs w:val="10"/>
                <w:highlight w:val="none"/>
              </w:rPr>
            </w:pPr>
            <w:r>
              <w:rPr>
                <w:rFonts w:hint="eastAsia" w:ascii="仿宋" w:hAnsi="仿宋" w:eastAsia="仿宋"/>
                <w:color w:val="auto"/>
                <w:sz w:val="15"/>
                <w:szCs w:val="10"/>
                <w:highlight w:val="none"/>
              </w:rPr>
              <w:t>卖方：</w:t>
            </w:r>
            <w:r>
              <w:rPr>
                <w:rFonts w:hint="eastAsia" w:ascii="宋体" w:hAnsi="宋体"/>
                <w:color w:val="auto"/>
                <w:sz w:val="15"/>
                <w:szCs w:val="10"/>
                <w:highlight w:val="none"/>
              </w:rPr>
              <w:t>XXX</w:t>
            </w:r>
          </w:p>
        </w:tc>
      </w:tr>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Ex>
        <w:trPr>
          <w:cantSplit/>
          <w:trHeight w:val="1271" w:hRule="atLeast"/>
          <w:jc w:val="center"/>
        </w:trPr>
        <w:tc>
          <w:tcPr>
            <w:tcW w:w="4740" w:type="dxa"/>
            <w:vAlign w:val="top"/>
          </w:tcPr>
          <w:p>
            <w:pPr>
              <w:keepNext w:val="0"/>
              <w:keepLines w:val="0"/>
              <w:suppressLineNumbers w:val="0"/>
              <w:spacing w:before="0" w:beforeAutospacing="0" w:after="0" w:afterAutospacing="0" w:line="240" w:lineRule="atLeast"/>
              <w:ind w:left="745" w:leftChars="354" w:right="893" w:rightChars="425" w:hanging="2"/>
              <w:jc w:val="center"/>
              <w:rPr>
                <w:rFonts w:hint="eastAsia" w:ascii="仿宋" w:hAnsi="仿宋" w:eastAsia="仿宋"/>
                <w:color w:val="auto"/>
                <w:sz w:val="15"/>
                <w:szCs w:val="10"/>
                <w:highlight w:val="none"/>
              </w:rPr>
            </w:pPr>
            <w:r>
              <w:rPr>
                <w:rFonts w:hint="eastAsia" w:ascii="仿宋" w:hAnsi="仿宋" w:eastAsia="仿宋"/>
                <w:color w:val="auto"/>
                <w:sz w:val="15"/>
                <w:szCs w:val="10"/>
                <w:highlight w:val="none"/>
              </w:rPr>
              <w:t>买方代表签字</w:t>
            </w:r>
          </w:p>
          <w:p>
            <w:pPr>
              <w:keepNext w:val="0"/>
              <w:keepLines w:val="0"/>
              <w:suppressLineNumbers w:val="0"/>
              <w:spacing w:before="0" w:beforeAutospacing="0" w:after="0" w:afterAutospacing="0" w:line="240" w:lineRule="atLeast"/>
              <w:ind w:left="745" w:leftChars="354" w:right="893" w:rightChars="425" w:hanging="2"/>
              <w:jc w:val="center"/>
              <w:rPr>
                <w:rFonts w:hint="eastAsia" w:ascii="仿宋" w:hAnsi="仿宋" w:eastAsia="仿宋"/>
                <w:color w:val="auto"/>
                <w:sz w:val="15"/>
                <w:szCs w:val="10"/>
                <w:highlight w:val="none"/>
              </w:rPr>
            </w:pPr>
          </w:p>
          <w:p>
            <w:pPr>
              <w:keepNext w:val="0"/>
              <w:keepLines w:val="0"/>
              <w:suppressLineNumbers w:val="0"/>
              <w:tabs>
                <w:tab w:val="left" w:pos="2216"/>
              </w:tabs>
              <w:spacing w:before="0" w:beforeAutospacing="0" w:after="0" w:afterAutospacing="0" w:line="240" w:lineRule="atLeast"/>
              <w:ind w:left="745" w:leftChars="354" w:right="893" w:rightChars="425" w:hanging="2"/>
              <w:jc w:val="center"/>
              <w:rPr>
                <w:rFonts w:hint="eastAsia" w:ascii="仿宋" w:hAnsi="仿宋" w:eastAsia="仿宋"/>
                <w:color w:val="auto"/>
                <w:sz w:val="15"/>
                <w:szCs w:val="10"/>
                <w:highlight w:val="none"/>
              </w:rPr>
            </w:pPr>
          </w:p>
        </w:tc>
        <w:tc>
          <w:tcPr>
            <w:tcW w:w="4315" w:type="dxa"/>
            <w:vAlign w:val="top"/>
          </w:tcPr>
          <w:p>
            <w:pPr>
              <w:keepNext w:val="0"/>
              <w:keepLines w:val="0"/>
              <w:suppressLineNumbers w:val="0"/>
              <w:spacing w:before="0" w:beforeAutospacing="0" w:after="0" w:afterAutospacing="0" w:line="240" w:lineRule="atLeast"/>
              <w:ind w:left="745" w:leftChars="355" w:right="893" w:rightChars="425" w:firstLine="300" w:firstLineChars="200"/>
              <w:rPr>
                <w:rFonts w:hint="eastAsia" w:ascii="仿宋" w:hAnsi="仿宋" w:eastAsia="仿宋"/>
                <w:color w:val="auto"/>
                <w:sz w:val="15"/>
                <w:szCs w:val="10"/>
                <w:highlight w:val="none"/>
              </w:rPr>
            </w:pPr>
            <w:r>
              <w:rPr>
                <w:rFonts w:hint="eastAsia" w:ascii="仿宋" w:hAnsi="仿宋" w:eastAsia="仿宋"/>
                <w:color w:val="auto"/>
                <w:sz w:val="15"/>
                <w:szCs w:val="10"/>
                <w:highlight w:val="none"/>
              </w:rPr>
              <w:t>卖方代表签字</w:t>
            </w:r>
            <w:r>
              <w:rPr>
                <w:rFonts w:hint="eastAsia" w:ascii="宋体" w:hAnsi="宋体"/>
                <w:color w:val="auto"/>
                <w:sz w:val="15"/>
                <w:szCs w:val="10"/>
                <w:highlight w:val="none"/>
              </w:rPr>
              <w:t xml:space="preserve">   </w:t>
            </w:r>
          </w:p>
        </w:tc>
      </w:tr>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Ex>
        <w:trPr>
          <w:cantSplit/>
          <w:trHeight w:val="534" w:hRule="atLeast"/>
          <w:jc w:val="center"/>
        </w:trPr>
        <w:tc>
          <w:tcPr>
            <w:tcW w:w="4740" w:type="dxa"/>
            <w:vAlign w:val="center"/>
          </w:tcPr>
          <w:p>
            <w:pPr>
              <w:keepNext w:val="0"/>
              <w:keepLines w:val="0"/>
              <w:suppressLineNumbers w:val="0"/>
              <w:spacing w:before="0" w:beforeAutospacing="0" w:after="0" w:afterAutospacing="0" w:line="240" w:lineRule="atLeast"/>
              <w:ind w:left="0" w:right="893" w:rightChars="425"/>
              <w:rPr>
                <w:rFonts w:hint="eastAsia" w:ascii="仿宋" w:hAnsi="仿宋" w:eastAsia="仿宋"/>
                <w:color w:val="auto"/>
                <w:sz w:val="15"/>
                <w:szCs w:val="10"/>
                <w:highlight w:val="none"/>
              </w:rPr>
            </w:pPr>
            <w:r>
              <w:rPr>
                <w:rFonts w:hint="eastAsia" w:ascii="仿宋" w:hAnsi="仿宋" w:eastAsia="仿宋"/>
                <w:color w:val="auto"/>
                <w:sz w:val="15"/>
                <w:szCs w:val="10"/>
                <w:highlight w:val="none"/>
              </w:rPr>
              <w:t xml:space="preserve">法定代表人: </w:t>
            </w:r>
            <w:r>
              <w:rPr>
                <w:rFonts w:hint="eastAsia" w:ascii="宋体" w:hAnsi="宋体"/>
                <w:color w:val="auto"/>
                <w:sz w:val="15"/>
                <w:szCs w:val="10"/>
                <w:highlight w:val="none"/>
              </w:rPr>
              <w:t>XXX</w:t>
            </w:r>
          </w:p>
        </w:tc>
        <w:tc>
          <w:tcPr>
            <w:tcW w:w="4315" w:type="dxa"/>
            <w:vAlign w:val="center"/>
          </w:tcPr>
          <w:p>
            <w:pPr>
              <w:keepNext w:val="0"/>
              <w:keepLines w:val="0"/>
              <w:suppressLineNumbers w:val="0"/>
              <w:spacing w:before="0" w:beforeAutospacing="0" w:after="0" w:afterAutospacing="0" w:line="240" w:lineRule="atLeast"/>
              <w:ind w:left="0" w:right="893" w:rightChars="425"/>
              <w:rPr>
                <w:rFonts w:hint="eastAsia" w:ascii="仿宋" w:hAnsi="仿宋" w:eastAsia="仿宋"/>
                <w:color w:val="auto"/>
                <w:sz w:val="15"/>
                <w:szCs w:val="10"/>
                <w:highlight w:val="none"/>
              </w:rPr>
            </w:pPr>
            <w:r>
              <w:rPr>
                <w:rFonts w:hint="eastAsia" w:ascii="仿宋" w:hAnsi="仿宋" w:eastAsia="仿宋"/>
                <w:color w:val="auto"/>
                <w:sz w:val="15"/>
                <w:szCs w:val="10"/>
                <w:highlight w:val="none"/>
              </w:rPr>
              <w:t xml:space="preserve">法定代表人: </w:t>
            </w:r>
            <w:r>
              <w:rPr>
                <w:rFonts w:hint="eastAsia" w:ascii="宋体" w:hAnsi="宋体"/>
                <w:color w:val="auto"/>
                <w:sz w:val="15"/>
                <w:szCs w:val="10"/>
                <w:highlight w:val="none"/>
              </w:rPr>
              <w:t>XXX</w:t>
            </w:r>
          </w:p>
        </w:tc>
      </w:tr>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Ex>
        <w:trPr>
          <w:cantSplit/>
          <w:trHeight w:val="502" w:hRule="atLeast"/>
          <w:jc w:val="center"/>
        </w:trPr>
        <w:tc>
          <w:tcPr>
            <w:tcW w:w="4740" w:type="dxa"/>
            <w:vAlign w:val="center"/>
          </w:tcPr>
          <w:p>
            <w:pPr>
              <w:keepNext w:val="0"/>
              <w:keepLines w:val="0"/>
              <w:suppressLineNumbers w:val="0"/>
              <w:spacing w:before="0" w:beforeAutospacing="0" w:after="0" w:afterAutospacing="0" w:line="240" w:lineRule="atLeast"/>
              <w:ind w:left="0" w:right="893" w:rightChars="425"/>
              <w:rPr>
                <w:rFonts w:hint="eastAsia" w:ascii="仿宋" w:hAnsi="仿宋" w:eastAsia="仿宋"/>
                <w:color w:val="auto"/>
                <w:sz w:val="15"/>
                <w:szCs w:val="10"/>
                <w:highlight w:val="none"/>
              </w:rPr>
            </w:pPr>
            <w:r>
              <w:rPr>
                <w:rFonts w:hint="eastAsia" w:ascii="仿宋" w:hAnsi="仿宋" w:eastAsia="仿宋"/>
                <w:color w:val="auto"/>
                <w:sz w:val="15"/>
                <w:szCs w:val="10"/>
                <w:highlight w:val="none"/>
              </w:rPr>
              <w:t>注册地址：</w:t>
            </w:r>
            <w:r>
              <w:rPr>
                <w:rFonts w:hint="eastAsia" w:ascii="宋体" w:hAnsi="宋体"/>
                <w:color w:val="auto"/>
                <w:sz w:val="15"/>
                <w:szCs w:val="10"/>
                <w:highlight w:val="none"/>
              </w:rPr>
              <w:t>XXX</w:t>
            </w:r>
          </w:p>
        </w:tc>
        <w:tc>
          <w:tcPr>
            <w:tcW w:w="4315" w:type="dxa"/>
            <w:vAlign w:val="center"/>
          </w:tcPr>
          <w:p>
            <w:pPr>
              <w:keepNext w:val="0"/>
              <w:keepLines w:val="0"/>
              <w:suppressLineNumbers w:val="0"/>
              <w:spacing w:before="0" w:beforeAutospacing="0" w:after="0" w:afterAutospacing="0" w:line="240" w:lineRule="atLeast"/>
              <w:ind w:left="0" w:right="0"/>
              <w:rPr>
                <w:rFonts w:hint="eastAsia" w:ascii="仿宋" w:hAnsi="仿宋" w:eastAsia="仿宋"/>
                <w:color w:val="auto"/>
                <w:sz w:val="15"/>
                <w:szCs w:val="10"/>
                <w:highlight w:val="none"/>
              </w:rPr>
            </w:pPr>
            <w:r>
              <w:rPr>
                <w:rFonts w:hint="eastAsia" w:ascii="仿宋" w:hAnsi="仿宋" w:eastAsia="仿宋"/>
                <w:color w:val="auto"/>
                <w:sz w:val="15"/>
                <w:szCs w:val="10"/>
                <w:highlight w:val="none"/>
              </w:rPr>
              <w:t xml:space="preserve">注册地址： </w:t>
            </w:r>
            <w:r>
              <w:rPr>
                <w:rFonts w:hint="eastAsia" w:ascii="宋体" w:hAnsi="宋体"/>
                <w:color w:val="auto"/>
                <w:sz w:val="15"/>
                <w:szCs w:val="10"/>
                <w:highlight w:val="none"/>
              </w:rPr>
              <w:t>XXX</w:t>
            </w:r>
          </w:p>
        </w:tc>
      </w:tr>
      <w:tr>
        <w:tblPrEx>
          <w:tblBorders>
            <w:top w:val="single" w:color="C0C0C0" w:sz="4" w:space="0"/>
            <w:left w:val="single" w:color="C0C0C0" w:sz="4" w:space="0"/>
            <w:bottom w:val="single" w:color="C0C0C0" w:sz="4" w:space="0"/>
            <w:right w:val="single" w:color="C0C0C0" w:sz="4" w:space="0"/>
            <w:insideH w:val="single" w:color="C0C0C0" w:sz="4" w:space="0"/>
            <w:insideV w:val="single" w:color="C0C0C0" w:sz="4" w:space="0"/>
          </w:tblBorders>
          <w:tblLayout w:type="fixed"/>
          <w:tblCellMar>
            <w:top w:w="0" w:type="dxa"/>
            <w:left w:w="108" w:type="dxa"/>
            <w:bottom w:w="0" w:type="dxa"/>
            <w:right w:w="108" w:type="dxa"/>
          </w:tblCellMar>
        </w:tblPrEx>
        <w:trPr>
          <w:cantSplit/>
          <w:trHeight w:val="2076" w:hRule="atLeast"/>
          <w:jc w:val="center"/>
        </w:trPr>
        <w:tc>
          <w:tcPr>
            <w:tcW w:w="4740" w:type="dxa"/>
            <w:vAlign w:val="center"/>
          </w:tcPr>
          <w:p>
            <w:pPr>
              <w:keepNext w:val="0"/>
              <w:keepLines w:val="0"/>
              <w:suppressLineNumbers w:val="0"/>
              <w:snapToGrid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0"/>
                <w:highlight w:val="none"/>
              </w:rPr>
              <w:t>统一社会信用代码：XXX</w:t>
            </w:r>
          </w:p>
          <w:p>
            <w:pPr>
              <w:keepNext w:val="0"/>
              <w:keepLines w:val="0"/>
              <w:suppressLineNumbers w:val="0"/>
              <w:snapToGrid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0"/>
                <w:highlight w:val="none"/>
              </w:rPr>
              <w:t>开户行及账号：XXX</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0"/>
                <w:highlight w:val="none"/>
              </w:rPr>
              <w:t>邮寄地址：XXX</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5"/>
                <w:highlight w:val="none"/>
              </w:rPr>
              <w:t>电子邮箱：</w:t>
            </w:r>
            <w:r>
              <w:rPr>
                <w:rFonts w:hint="eastAsia" w:ascii="仿宋" w:hAnsi="仿宋" w:eastAsia="仿宋" w:cs="仿宋"/>
                <w:color w:val="auto"/>
                <w:sz w:val="15"/>
                <w:szCs w:val="10"/>
                <w:highlight w:val="none"/>
              </w:rPr>
              <w:t>XXX</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0"/>
                <w:highlight w:val="none"/>
              </w:rPr>
              <w:t>联系电话：XXX</w:t>
            </w:r>
          </w:p>
          <w:p>
            <w:pPr>
              <w:keepNext w:val="0"/>
              <w:keepLines w:val="0"/>
              <w:suppressLineNumbers w:val="0"/>
              <w:spacing w:before="0" w:beforeAutospacing="0" w:after="0" w:afterAutospacing="0" w:line="240" w:lineRule="atLeast"/>
              <w:ind w:left="0" w:right="0"/>
              <w:rPr>
                <w:rFonts w:hint="default" w:ascii="宋体" w:hAnsi="宋体"/>
                <w:color w:val="auto"/>
                <w:sz w:val="15"/>
                <w:szCs w:val="10"/>
                <w:highlight w:val="none"/>
              </w:rPr>
            </w:pPr>
          </w:p>
        </w:tc>
        <w:tc>
          <w:tcPr>
            <w:tcW w:w="4315" w:type="dxa"/>
            <w:vAlign w:val="center"/>
          </w:tcPr>
          <w:p>
            <w:pPr>
              <w:keepNext w:val="0"/>
              <w:keepLines w:val="0"/>
              <w:suppressLineNumbers w:val="0"/>
              <w:snapToGrid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0"/>
                <w:highlight w:val="none"/>
              </w:rPr>
              <w:t>统一社会信用代码：XXX</w:t>
            </w:r>
          </w:p>
          <w:p>
            <w:pPr>
              <w:keepNext w:val="0"/>
              <w:keepLines w:val="0"/>
              <w:suppressLineNumbers w:val="0"/>
              <w:snapToGrid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0"/>
                <w:highlight w:val="none"/>
              </w:rPr>
              <w:t>开户行及账号：XXX</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0"/>
                <w:highlight w:val="none"/>
              </w:rPr>
              <w:t>邮寄地址：XXX</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5"/>
                <w:highlight w:val="none"/>
              </w:rPr>
              <w:t>电子邮箱：</w:t>
            </w:r>
            <w:r>
              <w:rPr>
                <w:rFonts w:hint="eastAsia" w:ascii="仿宋" w:hAnsi="仿宋" w:eastAsia="仿宋" w:cs="仿宋"/>
                <w:color w:val="auto"/>
                <w:sz w:val="15"/>
                <w:szCs w:val="10"/>
                <w:highlight w:val="none"/>
              </w:rPr>
              <w:t>XXX</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sz w:val="15"/>
                <w:szCs w:val="10"/>
                <w:highlight w:val="none"/>
              </w:rPr>
            </w:pPr>
            <w:r>
              <w:rPr>
                <w:rFonts w:hint="eastAsia" w:ascii="仿宋" w:hAnsi="仿宋" w:eastAsia="仿宋" w:cs="仿宋"/>
                <w:color w:val="auto"/>
                <w:sz w:val="15"/>
                <w:szCs w:val="10"/>
                <w:highlight w:val="none"/>
              </w:rPr>
              <w:t>联系电话：XXX</w:t>
            </w:r>
          </w:p>
          <w:p>
            <w:pPr>
              <w:keepNext w:val="0"/>
              <w:keepLines w:val="0"/>
              <w:suppressLineNumbers w:val="0"/>
              <w:spacing w:before="0" w:beforeAutospacing="0" w:after="0" w:afterAutospacing="0" w:line="240" w:lineRule="atLeast"/>
              <w:ind w:left="0" w:right="0"/>
              <w:rPr>
                <w:rFonts w:hint="eastAsia" w:ascii="仿宋" w:hAnsi="仿宋" w:eastAsia="仿宋"/>
                <w:color w:val="auto"/>
                <w:sz w:val="15"/>
                <w:szCs w:val="10"/>
                <w:highlight w:val="none"/>
              </w:rPr>
            </w:pPr>
          </w:p>
        </w:tc>
      </w:tr>
    </w:tbl>
    <w:p>
      <w:pPr>
        <w:spacing w:line="240" w:lineRule="auto"/>
        <w:rPr>
          <w:rStyle w:val="68"/>
          <w:rFonts w:hint="eastAsia" w:ascii="仿宋" w:hAnsi="仿宋" w:eastAsia="仿宋" w:cs="仿宋"/>
          <w:color w:val="auto"/>
          <w:sz w:val="32"/>
          <w:szCs w:val="32"/>
          <w:highlight w:val="none"/>
          <w:shd w:val="clear" w:color="auto" w:fill="FFFFFF"/>
          <w:lang w:val="en-US" w:eastAsia="zh-CN"/>
        </w:rPr>
      </w:pPr>
    </w:p>
    <w:sectPr>
      <w:headerReference r:id="rId25" w:type="default"/>
      <w:footerReference r:id="rId26" w:type="default"/>
      <w:pgSz w:w="11907" w:h="16840"/>
      <w:pgMar w:top="1418" w:right="1474" w:bottom="1418" w:left="1474" w:header="851" w:footer="992" w:gutter="284"/>
      <w:pgNumType w:fmt="numberInDash"/>
      <w:cols w:space="720" w:num="1"/>
      <w:docGrid w:linePitch="367" w:charSpace="-2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ms Rmn">
    <w:altName w:val="Times New Roman"/>
    <w:panose1 w:val="02020603040505020304"/>
    <w:charset w:val="00"/>
    <w:family w:val="roman"/>
    <w:pitch w:val="default"/>
    <w:sig w:usb0="00000000" w:usb1="00000000" w:usb2="00000000" w:usb3="00000000" w:csb0="00000001" w:csb1="00000000"/>
  </w:font>
  <w:font w:name="方正小标宋简体">
    <w:altName w:val="黑体"/>
    <w:panose1 w:val="02000000000000000000"/>
    <w:charset w:val="86"/>
    <w:family w:val="script"/>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SI宋体-GB2312">
    <w:altName w:val="宋体"/>
    <w:panose1 w:val="00000000000000000000"/>
    <w:charset w:val="00"/>
    <w:family w:val="auto"/>
    <w:pitch w:val="default"/>
    <w:sig w:usb0="00000000" w:usb1="00000000" w:usb2="00000000" w:usb3="00000000" w:csb0="00000000" w:csb1="00000000"/>
  </w:font>
  <w:font w:name="方正黑体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宋体">
    <w:panose1 w:val="02010600030101010101"/>
    <w:charset w:val="86"/>
    <w:family w:val="auto"/>
    <w:pitch w:val="default"/>
    <w:sig w:usb0="00000003" w:usb1="288F0000" w:usb2="00000006" w:usb3="00000000" w:csb0="00040001" w:csb1="00000000"/>
  </w:font>
  <w:font w:name="Cambria Math">
    <w:panose1 w:val="02040503050406030204"/>
    <w:charset w:val="00"/>
    <w:family w:val="auto"/>
    <w:pitch w:val="default"/>
    <w:sig w:usb0="E00002FF" w:usb1="420024FF" w:usb2="00000000" w:usb3="00000000" w:csb0="2000019F" w:csb1="00000000"/>
  </w:font>
  <w:font w:name="font-weight : 400">
    <w:altName w:val="Segoe Print"/>
    <w:panose1 w:val="00000000000000000000"/>
    <w:charset w:val="00"/>
    <w:family w:val="auto"/>
    <w:pitch w:val="default"/>
    <w:sig w:usb0="00000000" w:usb1="00000000" w:usb2="00000000" w:usb3="00000000" w:csb0="00000000" w:csb1="00000000"/>
  </w:font>
  <w:font w:name="AMGDT">
    <w:altName w:val="Segoe UI Semilight"/>
    <w:panose1 w:val="02000400000000000000"/>
    <w:charset w:val="00"/>
    <w:family w:val="auto"/>
    <w:pitch w:val="default"/>
    <w:sig w:usb0="00000000" w:usb1="00000000" w:usb2="00000000" w:usb3="00000000" w:csb0="00000001" w:csb1="00000000"/>
  </w:font>
  <w:font w:name="Calibri Light">
    <w:panose1 w:val="020F0302020204030204"/>
    <w:charset w:val="00"/>
    <w:family w:val="auto"/>
    <w:pitch w:val="default"/>
    <w:sig w:usb0="A00002EF" w:usb1="4000207B" w:usb2="00000000" w:usb3="00000000" w:csb0="2000019F" w:csb1="00000000"/>
  </w:font>
  <w:font w:name="STSongStd-Light">
    <w:altName w:val="Segoe Print"/>
    <w:panose1 w:val="00000000000000000000"/>
    <w:charset w:val="00"/>
    <w:family w:val="roman"/>
    <w:pitch w:val="default"/>
    <w:sig w:usb0="00000000" w:usb1="00000000" w:usb2="00000000" w:usb3="00000000" w:csb0="00000001" w:csb1="00000000"/>
  </w:font>
  <w:font w:name="Helvetica">
    <w:altName w:val="Arial"/>
    <w:panose1 w:val="00000000000000000000"/>
    <w:charset w:val="00"/>
    <w:family w:val="roman"/>
    <w:pitch w:val="default"/>
    <w:sig w:usb0="00000000"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 w:name="ArialMT">
    <w:altName w:val="Arial"/>
    <w:panose1 w:val="00000000000000000000"/>
    <w:charset w:val="00"/>
    <w:family w:val="roman"/>
    <w:pitch w:val="default"/>
    <w:sig w:usb0="00000000" w:usb1="00000000" w:usb2="00000000" w:usb3="00000000" w:csb0="00000000" w:csb1="00000000"/>
  </w:font>
  <w:font w:name="FuturaA Bk BT">
    <w:altName w:val="Corbel"/>
    <w:panose1 w:val="00000000000000000000"/>
    <w:charset w:val="00"/>
    <w:family w:val="swiss"/>
    <w:pitch w:val="default"/>
    <w:sig w:usb0="00000000" w:usb1="00000000" w:usb2="00000000" w:usb3="00000000" w:csb0="00000011" w:csb1="00000000"/>
  </w:font>
  <w:font w:name="Corbel">
    <w:panose1 w:val="020B0503020204020204"/>
    <w:charset w:val="00"/>
    <w:family w:val="auto"/>
    <w:pitch w:val="default"/>
    <w:sig w:usb0="A00002EF" w:usb1="4000A44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Microsoft YaHei UI">
    <w:altName w:val="宋体"/>
    <w:panose1 w:val="020B0503020204020204"/>
    <w:charset w:val="86"/>
    <w:family w:val="auto"/>
    <w:pitch w:val="default"/>
    <w:sig w:usb0="00000000" w:usb1="00000000" w:usb2="00000016" w:usb3="00000000" w:csb0="0004001F" w:csb1="00000000"/>
  </w:font>
  <w:font w:name="Wingdings">
    <w:panose1 w:val="05000000000000000000"/>
    <w:charset w:val="00"/>
    <w:family w:val="auto"/>
    <w:pitch w:val="default"/>
    <w:sig w:usb0="00000000" w:usb1="00000000" w:usb2="00000000" w:usb3="00000000" w:csb0="80000000" w:csb1="00000000"/>
  </w:font>
  <w:font w:name="MS Sans Serif">
    <w:altName w:val="Segoe Print"/>
    <w:panose1 w:val="00000000000000000000"/>
    <w:charset w:val="00"/>
    <w:family w:val="auto"/>
    <w:pitch w:val="default"/>
    <w:sig w:usb0="00000000" w:usb1="00000000" w:usb2="00000000" w:usb3="00000000" w:csb0="00000000" w:csb1="00000000"/>
  </w:font>
  <w:font w:name="System">
    <w:altName w:val="宋体"/>
    <w:panose1 w:val="00000000000000000000"/>
    <w:charset w:val="86"/>
    <w:family w:val="auto"/>
    <w:pitch w:val="default"/>
    <w:sig w:usb0="00000000" w:usb1="00000000" w:usb2="00000000" w:usb3="00000000" w:csb0="00040000" w:csb1="00000000"/>
  </w:font>
  <w:font w:name="mn-cs">
    <w:altName w:val="Segoe Print"/>
    <w:panose1 w:val="00000000000000000000"/>
    <w:charset w:val="00"/>
    <w:family w:val="auto"/>
    <w:pitch w:val="default"/>
    <w:sig w:usb0="00000000" w:usb1="00000000" w:usb2="00000000" w:usb3="00000000" w:csb0="00000000" w:csb1="00000000"/>
  </w:font>
  <w:font w:name="幼圆">
    <w:panose1 w:val="02010509060101010101"/>
    <w:charset w:val="86"/>
    <w:family w:val="auto"/>
    <w:pitch w:val="default"/>
    <w:sig w:usb0="00000001"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DFKai-SB">
    <w:panose1 w:val="03000509000000000000"/>
    <w:charset w:val="88"/>
    <w:family w:val="auto"/>
    <w:pitch w:val="default"/>
    <w:sig w:usb0="00000003" w:usb1="082E0000" w:usb2="00000016" w:usb3="00000000" w:csb0="00100001" w:csb1="00000000"/>
  </w:font>
  <w:font w:name="MS Mincho">
    <w:panose1 w:val="02020609040205080304"/>
    <w:charset w:val="80"/>
    <w:family w:val="auto"/>
    <w:pitch w:val="default"/>
    <w:sig w:usb0="E00002FF" w:usb1="6AC7FDFB" w:usb2="00000012" w:usb3="00000000" w:csb0="4002009F" w:csb1="DFD70000"/>
  </w:font>
  <w:font w:name="MS Gothic">
    <w:panose1 w:val="020B0609070205080204"/>
    <w:charset w:val="80"/>
    <w:family w:val="auto"/>
    <w:pitch w:val="default"/>
    <w:sig w:usb0="E00002FF" w:usb1="6AC7FDFB" w:usb2="00000012" w:usb3="00000000" w:csb0="4002009F" w:csb1="DFD70000"/>
  </w:font>
  <w:font w:name="MingLiU_HKSCS-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ingLiU-ExtB">
    <w:panose1 w:val="02020500000000000000"/>
    <w:charset w:val="88"/>
    <w:family w:val="auto"/>
    <w:pitch w:val="default"/>
    <w:sig w:usb0="8000002F" w:usb1="02000008" w:usb2="00000000" w:usb3="00000000" w:csb0="00100001" w:csb1="00000000"/>
  </w:font>
  <w:font w:name="MingLiU">
    <w:panose1 w:val="02020509000000000000"/>
    <w:charset w:val="88"/>
    <w:family w:val="auto"/>
    <w:pitch w:val="default"/>
    <w:sig w:usb0="A00002FF" w:usb1="28CFFCFA" w:usb2="00000016" w:usb3="00000000" w:csb0="00100001" w:csb1="00000000"/>
  </w:font>
  <w:font w:name="Microsoft JhengHei UI">
    <w:altName w:val="Microsoft JhengHei"/>
    <w:panose1 w:val="020B0604030504040204"/>
    <w:charset w:val="88"/>
    <w:family w:val="auto"/>
    <w:pitch w:val="default"/>
    <w:sig w:usb0="00000000" w:usb1="00000000" w:usb2="00000016" w:usb3="00000000" w:csb0="00100009" w:csb1="00000000"/>
  </w:font>
  <w:font w:name="Microsoft JhengHei">
    <w:panose1 w:val="020B0604030504040204"/>
    <w:charset w:val="88"/>
    <w:family w:val="auto"/>
    <w:pitch w:val="default"/>
    <w:sig w:usb0="00000087" w:usb1="28AF4000" w:usb2="00000016" w:usb3="00000000" w:csb0="00100009" w:csb1="00000000"/>
  </w:font>
  <w:font w:name="Meiryo UI">
    <w:panose1 w:val="020B0604030504040204"/>
    <w:charset w:val="80"/>
    <w:family w:val="auto"/>
    <w:pitch w:val="default"/>
    <w:sig w:usb0="E10102FF" w:usb1="EAC7FFFF" w:usb2="00010012" w:usb3="00000000" w:csb0="6002009F" w:csb1="DFD70000"/>
  </w:font>
  <w:font w:name="Meiryo">
    <w:panose1 w:val="020B0604030504040204"/>
    <w:charset w:val="80"/>
    <w:family w:val="auto"/>
    <w:pitch w:val="default"/>
    <w:sig w:usb0="E10102FF" w:usb1="EAC7FFFF" w:usb2="00010012" w:usb3="00000000" w:csb0="6002009F" w:csb1="DFD70000"/>
  </w:font>
  <w:font w:name="Arial Unicode MS">
    <w:panose1 w:val="020B0604020202020204"/>
    <w:charset w:val="86"/>
    <w:family w:val="auto"/>
    <w:pitch w:val="default"/>
    <w:sig w:usb0="FFFFFFFF" w:usb1="E9FFFFFF" w:usb2="0000003F" w:usb3="00000000" w:csb0="603F01FF" w:csb1="FFFF0000"/>
  </w:font>
  <w:font w:name="Yu Gothic UI">
    <w:altName w:val="Meiryo UI"/>
    <w:panose1 w:val="020B0500000000000000"/>
    <w:charset w:val="80"/>
    <w:family w:val="auto"/>
    <w:pitch w:val="default"/>
    <w:sig w:usb0="00000000" w:usb1="00000000" w:usb2="00000016" w:usb3="00000000" w:csb0="2002009F" w:csb1="00000000"/>
  </w:font>
  <w:font w:name="PMingLiU-ExtB">
    <w:panose1 w:val="02020500000000000000"/>
    <w:charset w:val="88"/>
    <w:family w:val="auto"/>
    <w:pitch w:val="default"/>
    <w:sig w:usb0="8000002F" w:usb1="02000008" w:usb2="00000000" w:usb3="00000000" w:csb0="00100001" w:csb1="00000000"/>
  </w:font>
  <w:font w:name="Segoe UI Semilight">
    <w:panose1 w:val="020B0402040204020203"/>
    <w:charset w:val="00"/>
    <w:family w:val="auto"/>
    <w:pitch w:val="default"/>
    <w:sig w:usb0="E4002EFF" w:usb1="C000E47F"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6" w:space="1"/>
      </w:pBdr>
      <w:ind w:right="36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xGInwbcBAABVAwAADgAAAAAAAAABACAAAAAiAQAAZHJzL2Uyb0RvYy54bWxQSwUGAAAAAAYA&#10;BgBZAQAASwUAAAAA&#10;">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p>
    <w:pPr>
      <w:pStyle w:val="29"/>
      <w:tabs>
        <w:tab w:val="center" w:pos="4252"/>
        <w:tab w:val="right" w:pos="8504"/>
      </w:tabs>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105" w:firstLineChars="50"/>
      <w:rPr>
        <w:rFonts w:ascii="Arial" w:hAnsi="Arial" w:eastAsia="仿宋_GB2312" w:cs="Arial"/>
        <w:sz w:val="21"/>
        <w:szCs w:val="21"/>
        <w:lang w:val="it-IT"/>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kO9M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Z5DvTEAIAAAkEAAAOAAAAAAAAAAEAIAAA&#10;AB8BAABkcnMvZTJvRG9jLnhtbFBLBQYAAAAABgAGAFkBAACh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r>
      <w:rPr>
        <w:rFonts w:ascii="Arial" w:hAnsi="Arial" w:cs="Arial"/>
        <w:sz w:val="21"/>
        <w:szCs w:val="21"/>
      </w:rPr>
      <w:t>Document No.：</w:t>
    </w:r>
    <w:r>
      <w:rPr>
        <w:rFonts w:hint="eastAsia" w:ascii="宋体" w:hAnsi="宋体" w:cs="Arial"/>
        <w:sz w:val="21"/>
        <w:szCs w:val="21"/>
        <w:lang w:val="it-IT"/>
      </w:rPr>
      <w:t xml:space="preserve">         </w:t>
    </w:r>
    <w:r>
      <w:rPr>
        <w:rFonts w:hint="eastAsia" w:ascii="Arial" w:hAnsi="Arial" w:eastAsia="仿宋_GB2312" w:cs="Arial"/>
        <w:b/>
        <w:sz w:val="21"/>
        <w:szCs w:val="21"/>
        <w:lang w:val="it-IT"/>
      </w:rPr>
      <w:t xml:space="preserve">      </w:t>
    </w:r>
    <w:r>
      <w:rPr>
        <w:rFonts w:hint="eastAsia" w:ascii="Arial" w:hAnsi="Arial" w:eastAsia="仿宋_GB2312" w:cs="Arial"/>
        <w:b/>
        <w:sz w:val="21"/>
        <w:szCs w:val="21"/>
      </w:rPr>
      <w:t xml:space="preserve"> </w:t>
    </w:r>
    <w:r>
      <w:rPr>
        <w:rFonts w:hint="eastAsia" w:ascii="Arial" w:hAnsi="Arial" w:eastAsia="仿宋_GB2312" w:cs="Arial"/>
        <w:b/>
        <w:sz w:val="21"/>
        <w:szCs w:val="21"/>
        <w:lang w:val="it-IT"/>
      </w:rPr>
      <w:t xml:space="preserve">        </w:t>
    </w:r>
    <w:r>
      <w:rPr>
        <w:rFonts w:hint="eastAsia" w:ascii="Arial" w:hAnsi="Arial" w:eastAsia="仿宋_GB2312" w:cs="Arial"/>
        <w:b/>
        <w:sz w:val="21"/>
        <w:szCs w:val="21"/>
      </w:rPr>
      <w:t xml:space="preserve"> </w:t>
    </w:r>
    <w:r>
      <w:rPr>
        <w:rFonts w:hint="eastAsia" w:ascii="Arial" w:hAnsi="Arial" w:eastAsia="仿宋_GB2312" w:cs="Arial"/>
        <w:b/>
        <w:sz w:val="21"/>
        <w:szCs w:val="21"/>
        <w:lang w:val="it-IT"/>
      </w:rPr>
      <w:t xml:space="preserve">    </w:t>
    </w:r>
    <w:r>
      <w:rPr>
        <w:rFonts w:hint="eastAsia" w:ascii="宋体" w:hAnsi="宋体" w:cs="Arial"/>
        <w:sz w:val="21"/>
        <w:szCs w:val="21"/>
        <w:lang w:val="it-IT"/>
      </w:rPr>
      <w:t xml:space="preserve">             </w:t>
    </w:r>
    <w:r>
      <w:rPr>
        <w:rFonts w:hint="eastAsia" w:ascii="宋体" w:hAnsi="宋体" w:cs="Arial"/>
        <w:sz w:val="21"/>
        <w:szCs w:val="21"/>
      </w:rPr>
      <w:t xml:space="preserve"> </w:t>
    </w:r>
    <w:r>
      <w:rPr>
        <w:rFonts w:hint="eastAsia" w:ascii="宋体" w:hAnsi="宋体" w:cs="Arial"/>
        <w:sz w:val="21"/>
        <w:szCs w:val="21"/>
        <w:lang w:val="it-IT"/>
      </w:rPr>
      <w:t xml:space="preserve">  </w:t>
    </w:r>
    <w:r>
      <w:rPr>
        <w:rFonts w:hint="eastAsia" w:ascii="宋体" w:hAnsi="宋体" w:cs="Arial"/>
        <w:sz w:val="21"/>
        <w:szCs w:val="21"/>
      </w:rPr>
      <w:t xml:space="preserve"> </w:t>
    </w:r>
    <w:r>
      <w:rPr>
        <w:rFonts w:hint="eastAsia" w:ascii="宋体" w:hAnsi="宋体" w:cs="Arial"/>
        <w:sz w:val="21"/>
        <w:szCs w:val="21"/>
        <w:lang w:val="it-IT"/>
      </w:rPr>
      <w:t xml:space="preserve">     </w:t>
    </w:r>
    <w:r>
      <w:rPr>
        <w:rFonts w:ascii="Arial" w:hAnsi="Arial" w:cs="Arial"/>
        <w:sz w:val="21"/>
        <w:szCs w:val="21"/>
        <w:lang w:val="it-IT"/>
      </w:rPr>
      <w:t>Rev.：</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pPr>
    <w:r>
      <w:rPr>
        <w:rFonts w:hint="eastAsia" w:ascii="黑体" w:hAnsi="黑体" w:eastAsia="黑体" w:cs="Arial"/>
        <w:szCs w:val="28"/>
      </w:rPr>
      <w:t>石家庄国祥运输设备有限公司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2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ind w:right="-1" w:firstLine="1365" w:firstLineChars="650"/>
      <w:jc w:val="center"/>
      <w:rPr>
        <w:rFonts w:hint="eastAsia"/>
        <w:kern w:val="0"/>
        <w:szCs w:val="21"/>
        <w:u w:val="single"/>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9"/>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9FomErgEAAE0D&#10;AAAOAAAAAAAAAAEAIAAAAB4BAABkcnMvZTJvRG9jLnhtbFBLBQYAAAAABgAGAFkBAAA+BQAAAAA=&#10;">
              <v:fill on="f" focussize="0,0"/>
              <v:stroke on="f"/>
              <v:imagedata o:title=""/>
              <o:lock v:ext="edit" aspectratio="f"/>
              <v:textbox inset="0mm,0mm,0mm,0mm" style="mso-fit-shape-to-text:t;">
                <w:txbxContent>
                  <w:p>
                    <w:pPr>
                      <w:pStyle w:val="29"/>
                    </w:pPr>
                  </w:p>
                </w:txbxContent>
              </v:textbox>
            </v:shape>
          </w:pict>
        </mc:Fallback>
      </mc:AlternateContent>
    </w:r>
  </w:p>
  <w:p>
    <w:pPr>
      <w:pStyle w:val="29"/>
      <w:jc w:val="center"/>
      <w:rPr>
        <w:rFonts w:hint="eastAsia"/>
        <w:kern w:val="0"/>
        <w:szCs w:val="21"/>
      </w:rPr>
    </w:pP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right" w:y="1"/>
      <w:rPr>
        <w:rStyle w:val="47"/>
      </w:rPr>
    </w:pPr>
    <w:r>
      <w:fldChar w:fldCharType="begin"/>
    </w:r>
    <w:r>
      <w:rPr>
        <w:rStyle w:val="47"/>
      </w:rPr>
      <w:instrText xml:space="preserve">PAGE  </w:instrText>
    </w:r>
    <w:r>
      <w:fldChar w:fldCharType="separate"/>
    </w:r>
    <w:r>
      <w:fldChar w:fldCharType="end"/>
    </w:r>
  </w:p>
  <w:p>
    <w:pPr>
      <w:pStyle w:val="2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0</w:t>
                          </w:r>
                          <w:r>
                            <w:rPr>
                              <w:rFonts w:hint="eastAsia"/>
                              <w:sz w:val="1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0</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rPr>
        <w:rFonts w:ascii="Arial" w:hAnsi="Arial" w:eastAsia="仿宋_GB2312" w:cs="Arial"/>
        <w:sz w:val="21"/>
        <w:szCs w:val="21"/>
        <w:lang w:val="it-IT"/>
      </w:rPr>
    </w:pPr>
    <w:r>
      <w:rPr>
        <w:rFonts w:ascii="宋体" w:hAnsi="宋体" w:cs="Arial"/>
        <w:sz w:val="21"/>
        <w:szCs w:val="21"/>
      </w:rPr>
      <w:t>Document No.</w:t>
    </w:r>
    <w:r>
      <w:rPr>
        <w:rFonts w:hint="eastAsia" w:ascii="宋体" w:hAnsi="宋体" w:cs="Arial"/>
        <w:sz w:val="21"/>
        <w:szCs w:val="21"/>
      </w:rPr>
      <w:t xml:space="preserve">： </w:t>
    </w:r>
    <w:r>
      <w:rPr>
        <w:rFonts w:ascii="宋体" w:hAnsi="宋体" w:cs="Arial"/>
        <w:sz w:val="21"/>
        <w:szCs w:val="21"/>
      </w:rPr>
      <w:t xml:space="preserve">   </w:t>
    </w:r>
    <w:r>
      <w:rPr>
        <w:rFonts w:hint="eastAsia" w:ascii="Arial" w:hAnsi="Arial" w:eastAsia="仿宋_GB2312" w:cs="Arial"/>
        <w:b/>
        <w:sz w:val="21"/>
        <w:szCs w:val="21"/>
        <w:lang w:val="it-IT"/>
      </w:rPr>
      <w:t xml:space="preserve">                   </w:t>
    </w:r>
    <w:r>
      <w:rPr>
        <w:rFonts w:ascii="宋体" w:hAnsi="宋体" w:cs="Arial"/>
        <w:sz w:val="21"/>
        <w:szCs w:val="21"/>
        <w:lang w:val="it-IT"/>
      </w:rPr>
      <w:fldChar w:fldCharType="begin"/>
    </w:r>
    <w:r>
      <w:rPr>
        <w:rFonts w:ascii="宋体" w:hAnsi="宋体" w:cs="Arial"/>
        <w:sz w:val="21"/>
        <w:szCs w:val="21"/>
        <w:lang w:val="it-IT"/>
      </w:rPr>
      <w:instrText xml:space="preserve">PAGE  \* Arabic  \* MERGEFORMAT</w:instrText>
    </w:r>
    <w:r>
      <w:rPr>
        <w:rFonts w:ascii="宋体" w:hAnsi="宋体" w:cs="Arial"/>
        <w:sz w:val="21"/>
        <w:szCs w:val="21"/>
        <w:lang w:val="it-IT"/>
      </w:rPr>
      <w:fldChar w:fldCharType="separate"/>
    </w:r>
    <w:r>
      <w:rPr>
        <w:rFonts w:ascii="宋体" w:hAnsi="宋体" w:cs="Arial"/>
        <w:sz w:val="21"/>
        <w:szCs w:val="21"/>
      </w:rPr>
      <w:t>21</w:t>
    </w:r>
    <w:r>
      <w:rPr>
        <w:rFonts w:ascii="宋体" w:hAnsi="宋体" w:cs="Arial"/>
        <w:sz w:val="21"/>
        <w:szCs w:val="21"/>
        <w:lang w:val="it-IT"/>
      </w:rPr>
      <w:fldChar w:fldCharType="end"/>
    </w:r>
    <w:r>
      <w:rPr>
        <w:rFonts w:ascii="宋体" w:hAnsi="宋体" w:cs="Arial"/>
        <w:sz w:val="21"/>
        <w:szCs w:val="21"/>
      </w:rPr>
      <w:t xml:space="preserve"> / </w:t>
    </w:r>
    <w:r>
      <w:rPr>
        <w:rFonts w:hint="eastAsia" w:ascii="宋体" w:hAnsi="宋体" w:cs="Arial"/>
        <w:sz w:val="21"/>
        <w:szCs w:val="21"/>
        <w:lang w:val="en-US" w:eastAsia="zh-CN"/>
      </w:rPr>
      <w:t>47</w:t>
    </w:r>
    <w:r>
      <w:rPr>
        <w:rFonts w:hint="eastAsia" w:ascii="宋体" w:hAnsi="宋体" w:cs="Arial"/>
        <w:sz w:val="21"/>
        <w:szCs w:val="21"/>
        <w:lang w:val="it-IT"/>
      </w:rPr>
      <w:t xml:space="preserve">                    </w:t>
    </w:r>
    <w:r>
      <w:rPr>
        <w:rFonts w:ascii="宋体" w:hAnsi="宋体" w:cs="Arial"/>
        <w:sz w:val="21"/>
        <w:szCs w:val="21"/>
        <w:lang w:val="it-IT"/>
      </w:rPr>
      <w:t>Rev.</w:t>
    </w:r>
    <w:r>
      <w:rPr>
        <w:rFonts w:hint="eastAsia" w:ascii="宋体" w:hAnsi="宋体" w:cs="Arial"/>
        <w:sz w:val="21"/>
        <w:szCs w:val="21"/>
        <w:lang w:val="it-IT"/>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right"/>
    </w:pPr>
    <w:r>
      <w:rPr>
        <w:rFonts w:hint="eastAsia" w:ascii="黑体" w:hAnsi="黑体" w:eastAsia="黑体" w:cs="Arial"/>
        <w:szCs w:val="28"/>
      </w:rPr>
      <w:t>石家庄国祥运输设备有限公司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10" w:firstLineChars="100"/>
      <w:rPr>
        <w:rFonts w:ascii="Arial" w:hAnsi="Arial" w:eastAsia="仿宋_GB2312" w:cs="Arial"/>
        <w:sz w:val="21"/>
        <w:szCs w:val="21"/>
        <w:lang w:val="it-IT"/>
      </w:rPr>
    </w:pPr>
    <w:r>
      <w:rPr>
        <w:rFonts w:ascii="宋体" w:hAnsi="宋体" w:cs="Arial"/>
        <w:sz w:val="21"/>
        <w:szCs w:val="21"/>
      </w:rPr>
      <w:t>Document No.</w:t>
    </w:r>
    <w:r>
      <w:rPr>
        <w:rFonts w:hint="eastAsia" w:ascii="宋体" w:hAnsi="宋体" w:cs="Arial"/>
        <w:sz w:val="21"/>
        <w:szCs w:val="21"/>
      </w:rPr>
      <w:t xml:space="preserve">： </w:t>
    </w:r>
    <w:r>
      <w:rPr>
        <w:rFonts w:ascii="宋体" w:hAnsi="宋体" w:cs="Arial"/>
        <w:sz w:val="21"/>
        <w:szCs w:val="21"/>
      </w:rPr>
      <w:t xml:space="preserve">   </w:t>
    </w:r>
    <w:r>
      <w:rPr>
        <w:rFonts w:hint="eastAsia" w:ascii="Arial" w:hAnsi="Arial" w:eastAsia="仿宋_GB2312" w:cs="Arial"/>
        <w:b/>
        <w:sz w:val="21"/>
        <w:szCs w:val="21"/>
        <w:lang w:val="it-IT"/>
      </w:rPr>
      <w:t xml:space="preserve">                   </w:t>
    </w:r>
    <w:r>
      <w:rPr>
        <w:rFonts w:ascii="宋体" w:hAnsi="宋体" w:cs="Arial"/>
        <w:sz w:val="21"/>
        <w:szCs w:val="21"/>
        <w:lang w:val="it-IT"/>
      </w:rPr>
      <w:fldChar w:fldCharType="begin"/>
    </w:r>
    <w:r>
      <w:rPr>
        <w:rFonts w:ascii="宋体" w:hAnsi="宋体" w:cs="Arial"/>
        <w:sz w:val="21"/>
        <w:szCs w:val="21"/>
        <w:lang w:val="it-IT"/>
      </w:rPr>
      <w:instrText xml:space="preserve">PAGE  \* Arabic  \* MERGEFORMAT</w:instrText>
    </w:r>
    <w:r>
      <w:rPr>
        <w:rFonts w:ascii="宋体" w:hAnsi="宋体" w:cs="Arial"/>
        <w:sz w:val="21"/>
        <w:szCs w:val="21"/>
        <w:lang w:val="it-IT"/>
      </w:rPr>
      <w:fldChar w:fldCharType="separate"/>
    </w:r>
    <w:r>
      <w:rPr>
        <w:rFonts w:ascii="宋体" w:hAnsi="宋体" w:cs="Arial"/>
        <w:sz w:val="21"/>
        <w:szCs w:val="21"/>
      </w:rPr>
      <w:t>20</w:t>
    </w:r>
    <w:r>
      <w:rPr>
        <w:rFonts w:ascii="宋体" w:hAnsi="宋体" w:cs="Arial"/>
        <w:sz w:val="21"/>
        <w:szCs w:val="21"/>
        <w:lang w:val="it-IT"/>
      </w:rPr>
      <w:fldChar w:fldCharType="end"/>
    </w:r>
    <w:r>
      <w:rPr>
        <w:rFonts w:ascii="宋体" w:hAnsi="宋体" w:cs="Arial"/>
        <w:sz w:val="21"/>
        <w:szCs w:val="21"/>
      </w:rPr>
      <w:t xml:space="preserve"> / </w:t>
    </w:r>
    <w:r>
      <w:rPr>
        <w:rFonts w:ascii="宋体" w:hAnsi="宋体" w:cs="Arial"/>
        <w:sz w:val="21"/>
        <w:szCs w:val="21"/>
        <w:lang w:val="it-IT"/>
      </w:rPr>
      <w:t>4</w:t>
    </w:r>
    <w:r>
      <w:rPr>
        <w:rFonts w:hint="eastAsia" w:ascii="宋体" w:hAnsi="宋体" w:cs="Arial"/>
        <w:sz w:val="21"/>
        <w:szCs w:val="21"/>
        <w:lang w:val="en-US" w:eastAsia="zh-CN"/>
      </w:rPr>
      <w:t>7</w:t>
    </w:r>
    <w:r>
      <w:rPr>
        <w:rFonts w:hint="eastAsia" w:ascii="宋体" w:hAnsi="宋体" w:cs="Arial"/>
        <w:sz w:val="21"/>
        <w:szCs w:val="21"/>
        <w:lang w:val="it-IT"/>
      </w:rPr>
      <w:t xml:space="preserve">                      </w:t>
    </w:r>
    <w:r>
      <w:rPr>
        <w:rFonts w:ascii="宋体" w:hAnsi="宋体" w:cs="Arial"/>
        <w:sz w:val="21"/>
        <w:szCs w:val="21"/>
        <w:lang w:val="it-IT"/>
      </w:rPr>
      <w:t>Rev.</w:t>
    </w:r>
    <w:r>
      <w:rPr>
        <w:rFonts w:hint="eastAsia" w:ascii="宋体" w:hAnsi="宋体" w:cs="Arial"/>
        <w:sz w:val="21"/>
        <w:szCs w:val="21"/>
        <w:lang w:val="it-IT"/>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210" w:firstLineChars="100"/>
      <w:rPr>
        <w:rFonts w:ascii="Arial" w:hAnsi="Arial" w:eastAsia="仿宋_GB2312" w:cs="Arial"/>
        <w:sz w:val="21"/>
        <w:szCs w:val="21"/>
        <w:lang w:val="it-IT"/>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pPr>
    <w:r>
      <w:rPr>
        <w:rFonts w:hint="eastAsia" w:ascii="黑体" w:hAnsi="黑体" w:eastAsia="黑体" w:cs="Arial"/>
        <w:szCs w:val="28"/>
      </w:rPr>
      <w:t>石家庄国祥运输设备有限公司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1800" w:firstLineChars="1000"/>
      <w:jc w:val="both"/>
      <w:rPr>
        <w:rFonts w:hint="eastAsia"/>
      </w:rPr>
    </w:pPr>
    <w:r>
      <w:rPr>
        <w:rFonts w:hint="eastAsia"/>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afterLines="50"/>
      <w:ind w:firstLine="480"/>
    </w:pPr>
    <w:r>
      <w:rPr>
        <w:rFonts w:hint="eastAsia"/>
      </w:rPr>
      <w:t xml:space="preserve"> </w:t>
    </w:r>
    <w:r>
      <w:drawing>
        <wp:anchor distT="0" distB="0" distL="114300" distR="114300" simplePos="0" relativeHeight="251663360" behindDoc="0" locked="0" layoutInCell="1" allowOverlap="1">
          <wp:simplePos x="0" y="0"/>
          <wp:positionH relativeFrom="column">
            <wp:posOffset>385445</wp:posOffset>
          </wp:positionH>
          <wp:positionV relativeFrom="paragraph">
            <wp:posOffset>-123190</wp:posOffset>
          </wp:positionV>
          <wp:extent cx="1515110" cy="328295"/>
          <wp:effectExtent l="0" t="0" r="8890" b="14605"/>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15110" cy="328295"/>
                  </a:xfrm>
                  <a:prstGeom prst="rect">
                    <a:avLst/>
                  </a:prstGeom>
                  <a:noFill/>
                  <a:ln>
                    <a:noFill/>
                  </a:ln>
                  <a:effec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ind w:firstLine="360"/>
    </w:pPr>
    <w:r>
      <w:drawing>
        <wp:anchor distT="0" distB="0" distL="114300" distR="114300" simplePos="0" relativeHeight="251662336" behindDoc="0" locked="0" layoutInCell="1" allowOverlap="1">
          <wp:simplePos x="0" y="0"/>
          <wp:positionH relativeFrom="column">
            <wp:posOffset>13335</wp:posOffset>
          </wp:positionH>
          <wp:positionV relativeFrom="paragraph">
            <wp:posOffset>-170180</wp:posOffset>
          </wp:positionV>
          <wp:extent cx="1485900" cy="518160"/>
          <wp:effectExtent l="0" t="0" r="0" b="15240"/>
          <wp:wrapNone/>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85900" cy="51816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afterLines="50"/>
    </w:pPr>
    <w:r>
      <w:rPr>
        <w:rFonts w:hint="eastAsia"/>
      </w:rPr>
      <w:t xml:space="preserve"> </w:t>
    </w:r>
    <w:r>
      <w:drawing>
        <wp:inline distT="0" distB="0" distL="0" distR="0">
          <wp:extent cx="509905" cy="317500"/>
          <wp:effectExtent l="0" t="0" r="444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09905" cy="317500"/>
                  </a:xfrm>
                  <a:prstGeom prst="rect">
                    <a:avLst/>
                  </a:prstGeom>
                  <a:noFill/>
                  <a:ln>
                    <a:noFill/>
                  </a:ln>
                  <a:effectLst/>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r>
      <w:drawing>
        <wp:anchor distT="0" distB="0" distL="114300" distR="114300" simplePos="0" relativeHeight="251670528" behindDoc="0" locked="0" layoutInCell="1" allowOverlap="1">
          <wp:simplePos x="0" y="0"/>
          <wp:positionH relativeFrom="column">
            <wp:posOffset>13335</wp:posOffset>
          </wp:positionH>
          <wp:positionV relativeFrom="paragraph">
            <wp:posOffset>-170180</wp:posOffset>
          </wp:positionV>
          <wp:extent cx="533400" cy="518160"/>
          <wp:effectExtent l="0" t="0" r="0" b="1524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33400" cy="518160"/>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20" w:afterLines="50"/>
    </w:pPr>
    <w:r>
      <w:rPr>
        <w:rFonts w:hint="eastAsia"/>
      </w:rPr>
      <w:t xml:space="preserve"> </w:t>
    </w:r>
    <w:r>
      <w:drawing>
        <wp:inline distT="0" distB="0" distL="0" distR="0">
          <wp:extent cx="509905" cy="317500"/>
          <wp:effectExtent l="0" t="0" r="444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09905" cy="317500"/>
                  </a:xfrm>
                  <a:prstGeom prst="rect">
                    <a:avLst/>
                  </a:prstGeom>
                  <a:noFill/>
                  <a:ln>
                    <a:noFill/>
                  </a:ln>
                  <a:effectLst/>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E7B672"/>
    <w:multiLevelType w:val="singleLevel"/>
    <w:tmpl w:val="A8E7B672"/>
    <w:lvl w:ilvl="0" w:tentative="0">
      <w:start w:val="1"/>
      <w:numFmt w:val="bullet"/>
      <w:lvlText w:val=""/>
      <w:lvlJc w:val="left"/>
      <w:pPr>
        <w:ind w:left="420" w:hanging="420"/>
      </w:pPr>
      <w:rPr>
        <w:rFonts w:hint="default" w:ascii="Wingdings" w:hAnsi="Wingdings"/>
      </w:rPr>
    </w:lvl>
  </w:abstractNum>
  <w:abstractNum w:abstractNumId="1">
    <w:nsid w:val="F2852647"/>
    <w:multiLevelType w:val="singleLevel"/>
    <w:tmpl w:val="F2852647"/>
    <w:lvl w:ilvl="0" w:tentative="0">
      <w:start w:val="1"/>
      <w:numFmt w:val="decimal"/>
      <w:lvlText w:val="%1."/>
      <w:lvlJc w:val="left"/>
      <w:pPr>
        <w:tabs>
          <w:tab w:val="left" w:pos="312"/>
        </w:tabs>
      </w:pPr>
    </w:lvl>
  </w:abstractNum>
  <w:abstractNum w:abstractNumId="2">
    <w:nsid w:val="00000000"/>
    <w:multiLevelType w:val="multilevel"/>
    <w:tmpl w:val="00000000"/>
    <w:lvl w:ilvl="0" w:tentative="0">
      <w:start w:val="1"/>
      <w:numFmt w:val="decimal"/>
      <w:lvlText w:val="%1"/>
      <w:lvlJc w:val="left"/>
      <w:pPr>
        <w:tabs>
          <w:tab w:val="left" w:pos="0"/>
        </w:tabs>
        <w:ind w:left="0" w:firstLine="0"/>
      </w:pPr>
      <w:rPr>
        <w:rFonts w:hint="eastAsia"/>
      </w:rPr>
    </w:lvl>
    <w:lvl w:ilvl="1" w:tentative="0">
      <w:start w:val="1"/>
      <w:numFmt w:val="decimal"/>
      <w:pStyle w:val="3"/>
      <w:lvlText w:val="%1.%2"/>
      <w:lvlJc w:val="left"/>
      <w:pPr>
        <w:tabs>
          <w:tab w:val="left" w:pos="0"/>
        </w:tabs>
        <w:ind w:left="0" w:firstLine="0"/>
      </w:pPr>
      <w:rPr>
        <w:rFonts w:hint="eastAsia"/>
      </w:rPr>
    </w:lvl>
    <w:lvl w:ilvl="2" w:tentative="0">
      <w:start w:val="1"/>
      <w:numFmt w:val="decimal"/>
      <w:lvlText w:val="%1.%2.%3"/>
      <w:lvlJc w:val="left"/>
      <w:pPr>
        <w:tabs>
          <w:tab w:val="left" w:pos="0"/>
        </w:tabs>
        <w:ind w:left="0" w:firstLine="0"/>
      </w:pPr>
      <w:rPr>
        <w:rFonts w:hint="eastAsia"/>
      </w:rPr>
    </w:lvl>
    <w:lvl w:ilvl="3" w:tentative="0">
      <w:start w:val="1"/>
      <w:numFmt w:val="lowerLetter"/>
      <w:lvlText w:val="%4）"/>
      <w:lvlJc w:val="left"/>
      <w:pPr>
        <w:tabs>
          <w:tab w:val="left" w:pos="0"/>
        </w:tabs>
        <w:ind w:left="0" w:firstLine="0"/>
      </w:pPr>
      <w:rPr>
        <w:rFonts w:hint="eastAsia"/>
      </w:rPr>
    </w:lvl>
    <w:lvl w:ilvl="4" w:tentative="0">
      <w:start w:val="1"/>
      <w:numFmt w:val="decimal"/>
      <w:lvlText w:val="%5）"/>
      <w:lvlJc w:val="left"/>
      <w:pPr>
        <w:tabs>
          <w:tab w:val="left" w:pos="0"/>
        </w:tabs>
        <w:ind w:left="0" w:firstLine="0"/>
      </w:pPr>
      <w:rPr>
        <w:rFonts w:hint="eastAsia"/>
      </w:rPr>
    </w:lvl>
    <w:lvl w:ilvl="5" w:tentative="0">
      <w:start w:val="1"/>
      <w:numFmt w:val="decimal"/>
      <w:lvlText w:val="%1.%2.%3.%4.%5.%6"/>
      <w:lvlJc w:val="left"/>
      <w:pPr>
        <w:tabs>
          <w:tab w:val="left" w:pos="5726"/>
        </w:tabs>
        <w:ind w:left="3260" w:hanging="1134"/>
      </w:pPr>
      <w:rPr>
        <w:rFonts w:hint="eastAsia"/>
      </w:rPr>
    </w:lvl>
    <w:lvl w:ilvl="6" w:tentative="0">
      <w:start w:val="1"/>
      <w:numFmt w:val="decimal"/>
      <w:lvlText w:val="%1.%2.%3.%4.%5.%6.%7"/>
      <w:lvlJc w:val="left"/>
      <w:pPr>
        <w:tabs>
          <w:tab w:val="left" w:pos="6871"/>
        </w:tabs>
        <w:ind w:left="3827" w:hanging="1276"/>
      </w:pPr>
      <w:rPr>
        <w:rFonts w:hint="eastAsia"/>
      </w:rPr>
    </w:lvl>
    <w:lvl w:ilvl="7" w:tentative="0">
      <w:start w:val="1"/>
      <w:numFmt w:val="decimal"/>
      <w:lvlText w:val="%1.%2.%3.%4.%5.%6.%7.%8"/>
      <w:lvlJc w:val="left"/>
      <w:pPr>
        <w:tabs>
          <w:tab w:val="left" w:pos="8016"/>
        </w:tabs>
        <w:ind w:left="4394" w:hanging="1418"/>
      </w:pPr>
      <w:rPr>
        <w:rFonts w:hint="eastAsia"/>
      </w:rPr>
    </w:lvl>
    <w:lvl w:ilvl="8" w:tentative="0">
      <w:start w:val="1"/>
      <w:numFmt w:val="decimal"/>
      <w:lvlText w:val="%1.%2.%3.%4.%5.%6.%7.%8.%9"/>
      <w:lvlJc w:val="left"/>
      <w:pPr>
        <w:tabs>
          <w:tab w:val="left" w:pos="9162"/>
        </w:tabs>
        <w:ind w:left="5102" w:hanging="1700"/>
      </w:pPr>
      <w:rPr>
        <w:rFonts w:hint="eastAsia"/>
      </w:rPr>
    </w:lvl>
  </w:abstractNum>
  <w:abstractNum w:abstractNumId="3">
    <w:nsid w:val="00000004"/>
    <w:multiLevelType w:val="multilevel"/>
    <w:tmpl w:val="00000004"/>
    <w:lvl w:ilvl="0" w:tentative="0">
      <w:start w:val="1"/>
      <w:numFmt w:val="decimal"/>
      <w:pStyle w:val="45"/>
      <w:isLgl/>
      <w:lvlText w:val="%1."/>
      <w:lvlJc w:val="left"/>
      <w:pPr>
        <w:tabs>
          <w:tab w:val="left" w:pos="432"/>
        </w:tabs>
        <w:ind w:left="432" w:hanging="432"/>
      </w:pPr>
      <w:rPr>
        <w:rFonts w:hint="default" w:ascii="Times New Roman" w:hAnsi="Times New Roman" w:eastAsia="宋体"/>
        <w:sz w:val="36"/>
      </w:rPr>
    </w:lvl>
    <w:lvl w:ilvl="1" w:tentative="0">
      <w:start w:val="1"/>
      <w:numFmt w:val="decimal"/>
      <w:lvlText w:val="%1.%2"/>
      <w:lvlJc w:val="left"/>
      <w:pPr>
        <w:tabs>
          <w:tab w:val="left" w:pos="1004"/>
        </w:tabs>
        <w:ind w:left="576" w:hanging="292"/>
      </w:pPr>
      <w:rPr>
        <w:rFonts w:hint="default" w:ascii="Times New Roman" w:hAnsi="Times New Roman" w:eastAsia="黑体"/>
        <w:sz w:val="30"/>
      </w:rPr>
    </w:lvl>
    <w:lvl w:ilvl="2" w:tentative="0">
      <w:start w:val="1"/>
      <w:numFmt w:val="decimal"/>
      <w:lvlText w:val="%1.%2.%3"/>
      <w:lvlJc w:val="left"/>
      <w:pPr>
        <w:tabs>
          <w:tab w:val="left" w:pos="1287"/>
        </w:tabs>
        <w:ind w:left="578" w:hanging="11"/>
      </w:pPr>
      <w:rPr>
        <w:rFonts w:hint="default" w:ascii="Times New Roman" w:hAnsi="Times New Roman" w:eastAsia="宋体"/>
        <w:b/>
        <w:i w:val="0"/>
        <w:sz w:val="28"/>
      </w:rPr>
    </w:lvl>
    <w:lvl w:ilvl="3" w:tentative="0">
      <w:start w:val="1"/>
      <w:numFmt w:val="decimal"/>
      <w:lvlText w:val="%1.%2.%3.%4"/>
      <w:lvlJc w:val="left"/>
      <w:pPr>
        <w:tabs>
          <w:tab w:val="left" w:pos="2214"/>
        </w:tabs>
        <w:ind w:left="578" w:firstLine="556"/>
      </w:pPr>
      <w:rPr>
        <w:rFonts w:hint="default" w:ascii="Arial" w:hAnsi="Arial" w:eastAsia="宋体"/>
        <w:b/>
        <w:i w:val="0"/>
        <w:sz w:val="28"/>
      </w:rPr>
    </w:lvl>
    <w:lvl w:ilvl="4" w:tentative="0">
      <w:start w:val="1"/>
      <w:numFmt w:val="decimal"/>
      <w:lvlText w:val="%1.%2.%3.%4.%5"/>
      <w:lvlJc w:val="left"/>
      <w:pPr>
        <w:tabs>
          <w:tab w:val="left" w:pos="2611"/>
        </w:tabs>
        <w:ind w:left="1008" w:firstLine="523"/>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01635C7F"/>
    <w:multiLevelType w:val="multilevel"/>
    <w:tmpl w:val="01635C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A5A5438"/>
    <w:multiLevelType w:val="multilevel"/>
    <w:tmpl w:val="0A5A5438"/>
    <w:lvl w:ilvl="0" w:tentative="0">
      <w:start w:val="1"/>
      <w:numFmt w:val="bullet"/>
      <w:pStyle w:val="108"/>
      <w:lvlText w:val=""/>
      <w:lvlJc w:val="left"/>
      <w:pPr>
        <w:tabs>
          <w:tab w:val="left" w:pos="1140"/>
        </w:tabs>
        <w:ind w:left="1140" w:hanging="420"/>
      </w:pPr>
      <w:rPr>
        <w:rFonts w:hint="default" w:ascii="Wingdings" w:hAnsi="Wingdings" w:cs="Wingdings"/>
      </w:rPr>
    </w:lvl>
    <w:lvl w:ilvl="1" w:tentative="0">
      <w:start w:val="1"/>
      <w:numFmt w:val="bullet"/>
      <w:lvlText w:val=""/>
      <w:lvlJc w:val="left"/>
      <w:pPr>
        <w:tabs>
          <w:tab w:val="left" w:pos="1560"/>
        </w:tabs>
        <w:ind w:left="1560" w:hanging="420"/>
      </w:pPr>
      <w:rPr>
        <w:rFonts w:hint="default" w:ascii="Wingdings" w:hAnsi="Wingdings" w:cs="Wingdings"/>
      </w:rPr>
    </w:lvl>
    <w:lvl w:ilvl="2" w:tentative="0">
      <w:start w:val="1"/>
      <w:numFmt w:val="bullet"/>
      <w:lvlText w:val=""/>
      <w:lvlJc w:val="left"/>
      <w:pPr>
        <w:tabs>
          <w:tab w:val="left" w:pos="1980"/>
        </w:tabs>
        <w:ind w:left="1980" w:hanging="420"/>
      </w:pPr>
      <w:rPr>
        <w:rFonts w:hint="default" w:ascii="Wingdings" w:hAnsi="Wingdings" w:cs="Wingdings"/>
      </w:rPr>
    </w:lvl>
    <w:lvl w:ilvl="3" w:tentative="0">
      <w:start w:val="1"/>
      <w:numFmt w:val="bullet"/>
      <w:lvlText w:val=""/>
      <w:lvlJc w:val="left"/>
      <w:pPr>
        <w:tabs>
          <w:tab w:val="left" w:pos="2400"/>
        </w:tabs>
        <w:ind w:left="2400" w:hanging="420"/>
      </w:pPr>
      <w:rPr>
        <w:rFonts w:hint="default" w:ascii="Wingdings" w:hAnsi="Wingdings" w:cs="Wingdings"/>
      </w:rPr>
    </w:lvl>
    <w:lvl w:ilvl="4" w:tentative="0">
      <w:start w:val="1"/>
      <w:numFmt w:val="bullet"/>
      <w:lvlText w:val=""/>
      <w:lvlJc w:val="left"/>
      <w:pPr>
        <w:tabs>
          <w:tab w:val="left" w:pos="2820"/>
        </w:tabs>
        <w:ind w:left="2820" w:hanging="420"/>
      </w:pPr>
      <w:rPr>
        <w:rFonts w:hint="default" w:ascii="Wingdings" w:hAnsi="Wingdings" w:cs="Wingdings"/>
      </w:rPr>
    </w:lvl>
    <w:lvl w:ilvl="5" w:tentative="0">
      <w:start w:val="1"/>
      <w:numFmt w:val="bullet"/>
      <w:lvlText w:val=""/>
      <w:lvlJc w:val="left"/>
      <w:pPr>
        <w:tabs>
          <w:tab w:val="left" w:pos="3240"/>
        </w:tabs>
        <w:ind w:left="3240" w:hanging="420"/>
      </w:pPr>
      <w:rPr>
        <w:rFonts w:hint="default" w:ascii="Wingdings" w:hAnsi="Wingdings" w:cs="Wingdings"/>
      </w:rPr>
    </w:lvl>
    <w:lvl w:ilvl="6" w:tentative="0">
      <w:start w:val="1"/>
      <w:numFmt w:val="bullet"/>
      <w:lvlText w:val=""/>
      <w:lvlJc w:val="left"/>
      <w:pPr>
        <w:tabs>
          <w:tab w:val="left" w:pos="3660"/>
        </w:tabs>
        <w:ind w:left="3660" w:hanging="420"/>
      </w:pPr>
      <w:rPr>
        <w:rFonts w:hint="default" w:ascii="Wingdings" w:hAnsi="Wingdings" w:cs="Wingdings"/>
      </w:rPr>
    </w:lvl>
    <w:lvl w:ilvl="7" w:tentative="0">
      <w:start w:val="1"/>
      <w:numFmt w:val="bullet"/>
      <w:lvlText w:val=""/>
      <w:lvlJc w:val="left"/>
      <w:pPr>
        <w:tabs>
          <w:tab w:val="left" w:pos="4080"/>
        </w:tabs>
        <w:ind w:left="4080" w:hanging="420"/>
      </w:pPr>
      <w:rPr>
        <w:rFonts w:hint="default" w:ascii="Wingdings" w:hAnsi="Wingdings" w:cs="Wingdings"/>
      </w:rPr>
    </w:lvl>
    <w:lvl w:ilvl="8" w:tentative="0">
      <w:start w:val="1"/>
      <w:numFmt w:val="bullet"/>
      <w:lvlText w:val=""/>
      <w:lvlJc w:val="left"/>
      <w:pPr>
        <w:tabs>
          <w:tab w:val="left" w:pos="4500"/>
        </w:tabs>
        <w:ind w:left="4500" w:hanging="420"/>
      </w:pPr>
      <w:rPr>
        <w:rFonts w:hint="default" w:ascii="Wingdings" w:hAnsi="Wingdings" w:cs="Wingdings"/>
      </w:rPr>
    </w:lvl>
  </w:abstractNum>
  <w:abstractNum w:abstractNumId="6">
    <w:nsid w:val="16D94331"/>
    <w:multiLevelType w:val="multilevel"/>
    <w:tmpl w:val="16D94331"/>
    <w:lvl w:ilvl="0" w:tentative="0">
      <w:start w:val="1"/>
      <w:numFmt w:val="decimal"/>
      <w:pStyle w:val="167"/>
      <w:lvlText w:val="%1."/>
      <w:lvlJc w:val="left"/>
      <w:pPr>
        <w:ind w:left="1038" w:hanging="420"/>
      </w:pPr>
      <w:rPr>
        <w:rFonts w:hint="eastAsia"/>
      </w:rPr>
    </w:lvl>
    <w:lvl w:ilvl="1" w:tentative="0">
      <w:start w:val="1"/>
      <w:numFmt w:val="lowerLetter"/>
      <w:lvlText w:val="%2)"/>
      <w:lvlJc w:val="left"/>
      <w:pPr>
        <w:ind w:left="1458" w:hanging="420"/>
      </w:pPr>
    </w:lvl>
    <w:lvl w:ilvl="2" w:tentative="0">
      <w:start w:val="1"/>
      <w:numFmt w:val="lowerRoman"/>
      <w:lvlText w:val="%3."/>
      <w:lvlJc w:val="right"/>
      <w:pPr>
        <w:ind w:left="1878" w:hanging="420"/>
      </w:pPr>
    </w:lvl>
    <w:lvl w:ilvl="3" w:tentative="0">
      <w:start w:val="1"/>
      <w:numFmt w:val="decimal"/>
      <w:lvlText w:val="%4."/>
      <w:lvlJc w:val="left"/>
      <w:pPr>
        <w:ind w:left="2298" w:hanging="420"/>
      </w:pPr>
    </w:lvl>
    <w:lvl w:ilvl="4" w:tentative="0">
      <w:start w:val="1"/>
      <w:numFmt w:val="lowerLetter"/>
      <w:lvlText w:val="%5)"/>
      <w:lvlJc w:val="left"/>
      <w:pPr>
        <w:ind w:left="2718" w:hanging="420"/>
      </w:pPr>
    </w:lvl>
    <w:lvl w:ilvl="5" w:tentative="0">
      <w:start w:val="1"/>
      <w:numFmt w:val="lowerRoman"/>
      <w:lvlText w:val="%6."/>
      <w:lvlJc w:val="right"/>
      <w:pPr>
        <w:ind w:left="3138" w:hanging="420"/>
      </w:pPr>
    </w:lvl>
    <w:lvl w:ilvl="6" w:tentative="0">
      <w:start w:val="1"/>
      <w:numFmt w:val="decimal"/>
      <w:lvlText w:val="%7."/>
      <w:lvlJc w:val="left"/>
      <w:pPr>
        <w:ind w:left="3558" w:hanging="420"/>
      </w:pPr>
    </w:lvl>
    <w:lvl w:ilvl="7" w:tentative="0">
      <w:start w:val="1"/>
      <w:numFmt w:val="lowerLetter"/>
      <w:lvlText w:val="%8)"/>
      <w:lvlJc w:val="left"/>
      <w:pPr>
        <w:ind w:left="3978" w:hanging="420"/>
      </w:pPr>
    </w:lvl>
    <w:lvl w:ilvl="8" w:tentative="0">
      <w:start w:val="1"/>
      <w:numFmt w:val="lowerRoman"/>
      <w:lvlText w:val="%9."/>
      <w:lvlJc w:val="right"/>
      <w:pPr>
        <w:ind w:left="4398" w:hanging="420"/>
      </w:pPr>
    </w:lvl>
  </w:abstractNum>
  <w:abstractNum w:abstractNumId="7">
    <w:nsid w:val="1C5657EC"/>
    <w:multiLevelType w:val="singleLevel"/>
    <w:tmpl w:val="1C5657EC"/>
    <w:lvl w:ilvl="0" w:tentative="0">
      <w:start w:val="1"/>
      <w:numFmt w:val="bullet"/>
      <w:lvlText w:val=""/>
      <w:lvlJc w:val="left"/>
      <w:pPr>
        <w:ind w:left="420" w:hanging="420"/>
      </w:pPr>
      <w:rPr>
        <w:rFonts w:hint="default" w:ascii="Wingdings" w:hAnsi="Wingdings"/>
      </w:rPr>
    </w:lvl>
  </w:abstractNum>
  <w:abstractNum w:abstractNumId="8">
    <w:nsid w:val="22137359"/>
    <w:multiLevelType w:val="multilevel"/>
    <w:tmpl w:val="22137359"/>
    <w:lvl w:ilvl="0" w:tentative="0">
      <w:start w:val="1"/>
      <w:numFmt w:val="decimal"/>
      <w:pStyle w:val="16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FF20ACA"/>
    <w:multiLevelType w:val="multilevel"/>
    <w:tmpl w:val="2FF20ACA"/>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34E66EB"/>
    <w:multiLevelType w:val="multilevel"/>
    <w:tmpl w:val="334E66EB"/>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43097C97"/>
    <w:multiLevelType w:val="multilevel"/>
    <w:tmpl w:val="43097C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BE971B2"/>
    <w:multiLevelType w:val="multilevel"/>
    <w:tmpl w:val="4BE971B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50C12FD3"/>
    <w:multiLevelType w:val="multilevel"/>
    <w:tmpl w:val="50C12F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9B42297"/>
    <w:multiLevelType w:val="multilevel"/>
    <w:tmpl w:val="59B42297"/>
    <w:lvl w:ilvl="0" w:tentative="0">
      <w:start w:val="1"/>
      <w:numFmt w:val="decimal"/>
      <w:lvlText w:val="%1"/>
      <w:lvlJc w:val="left"/>
      <w:pPr>
        <w:tabs>
          <w:tab w:val="left" w:pos="432"/>
        </w:tabs>
        <w:ind w:left="432" w:hanging="432"/>
      </w:pPr>
      <w:rPr>
        <w:rFonts w:hint="eastAsia" w:ascii="宋体" w:hAnsi="宋体" w:eastAsia="宋体"/>
        <w:b/>
        <w:i w:val="0"/>
        <w:sz w:val="24"/>
        <w:szCs w:val="24"/>
      </w:rPr>
    </w:lvl>
    <w:lvl w:ilvl="1" w:tentative="0">
      <w:start w:val="1"/>
      <w:numFmt w:val="decimal"/>
      <w:lvlText w:val="%1.%2"/>
      <w:lvlJc w:val="left"/>
      <w:pPr>
        <w:tabs>
          <w:tab w:val="left" w:pos="576"/>
        </w:tabs>
        <w:ind w:left="576" w:hanging="576"/>
      </w:pPr>
      <w:rPr>
        <w:rFonts w:hint="eastAsia" w:ascii="宋体" w:hAnsi="宋体" w:eastAsia="宋体"/>
        <w:b/>
        <w:i w:val="0"/>
        <w:sz w:val="24"/>
        <w:szCs w:val="24"/>
      </w:rPr>
    </w:lvl>
    <w:lvl w:ilvl="2" w:tentative="0">
      <w:start w:val="1"/>
      <w:numFmt w:val="decimal"/>
      <w:lvlText w:val="%1.%2.%3"/>
      <w:lvlJc w:val="left"/>
      <w:pPr>
        <w:tabs>
          <w:tab w:val="left" w:pos="720"/>
        </w:tabs>
        <w:ind w:left="720" w:hanging="720"/>
      </w:pPr>
      <w:rPr>
        <w:rFonts w:hint="default" w:ascii="宋体" w:hAnsi="宋体" w:eastAsia="宋体"/>
        <w:b w:val="0"/>
        <w:i w:val="0"/>
        <w:sz w:val="24"/>
        <w:szCs w:val="24"/>
      </w:rPr>
    </w:lvl>
    <w:lvl w:ilvl="3" w:tentative="0">
      <w:start w:val="1"/>
      <w:numFmt w:val="decimal"/>
      <w:pStyle w:val="5"/>
      <w:lvlText w:val="%1.%2.%3.%4"/>
      <w:lvlJc w:val="left"/>
      <w:pPr>
        <w:tabs>
          <w:tab w:val="left" w:pos="864"/>
        </w:tabs>
        <w:ind w:left="864" w:hanging="864"/>
      </w:pPr>
      <w:rPr>
        <w:rFonts w:hint="default" w:ascii="宋体" w:hAnsi="宋体" w:eastAsia="宋体"/>
        <w:b w:val="0"/>
        <w:i w:val="0"/>
        <w:sz w:val="24"/>
        <w:szCs w:val="24"/>
      </w:rPr>
    </w:lvl>
    <w:lvl w:ilvl="4" w:tentative="0">
      <w:start w:val="1"/>
      <w:numFmt w:val="decimal"/>
      <w:pStyle w:val="6"/>
      <w:lvlText w:val="%1.%2.%3.%4.%5"/>
      <w:lvlJc w:val="left"/>
      <w:pPr>
        <w:tabs>
          <w:tab w:val="left" w:pos="1008"/>
        </w:tabs>
        <w:ind w:left="1008" w:hanging="1008"/>
      </w:pPr>
      <w:rPr>
        <w:rFonts w:hint="eastAsia" w:ascii="宋体" w:hAnsi="宋体" w:eastAsia="宋体"/>
        <w:b w:val="0"/>
        <w:i w:val="0"/>
        <w:sz w:val="24"/>
        <w:szCs w:val="24"/>
      </w:rPr>
    </w:lvl>
    <w:lvl w:ilvl="5" w:tentative="0">
      <w:start w:val="1"/>
      <w:numFmt w:val="decimal"/>
      <w:pStyle w:val="7"/>
      <w:lvlText w:val="%1.%2.%3.%4.%5.%6"/>
      <w:lvlJc w:val="left"/>
      <w:pPr>
        <w:tabs>
          <w:tab w:val="left" w:pos="1152"/>
        </w:tabs>
        <w:ind w:left="1152" w:hanging="1152"/>
      </w:pPr>
      <w:rPr>
        <w:rFonts w:hint="eastAsia" w:ascii="宋体" w:hAnsi="宋体" w:eastAsia="宋体"/>
        <w:b w:val="0"/>
        <w:i w:val="0"/>
        <w:sz w:val="24"/>
        <w:szCs w:val="24"/>
      </w:rPr>
    </w:lvl>
    <w:lvl w:ilvl="6" w:tentative="0">
      <w:start w:val="1"/>
      <w:numFmt w:val="decimal"/>
      <w:pStyle w:val="8"/>
      <w:lvlText w:val="%1.%2.%3.%4.%5.%6.%7"/>
      <w:lvlJc w:val="left"/>
      <w:pPr>
        <w:tabs>
          <w:tab w:val="left" w:pos="1296"/>
        </w:tabs>
        <w:ind w:left="1296" w:hanging="1296"/>
      </w:pPr>
      <w:rPr>
        <w:rFonts w:hint="eastAsia" w:ascii="宋体" w:hAnsi="宋体" w:eastAsia="宋体"/>
        <w:b w:val="0"/>
        <w:i w:val="0"/>
        <w:sz w:val="24"/>
        <w:szCs w:val="24"/>
      </w:rPr>
    </w:lvl>
    <w:lvl w:ilvl="7" w:tentative="0">
      <w:start w:val="1"/>
      <w:numFmt w:val="decimal"/>
      <w:pStyle w:val="9"/>
      <w:lvlText w:val="%1.%2.%3.%4.%5.%6.%7.%8"/>
      <w:lvlJc w:val="left"/>
      <w:pPr>
        <w:tabs>
          <w:tab w:val="left" w:pos="1440"/>
        </w:tabs>
        <w:ind w:left="1440" w:hanging="1440"/>
      </w:pPr>
      <w:rPr>
        <w:rFonts w:hint="eastAsia" w:ascii="宋体" w:hAnsi="宋体" w:eastAsia="宋体"/>
        <w:b w:val="0"/>
        <w:i w:val="0"/>
        <w:sz w:val="24"/>
        <w:szCs w:val="24"/>
      </w:rPr>
    </w:lvl>
    <w:lvl w:ilvl="8" w:tentative="0">
      <w:start w:val="1"/>
      <w:numFmt w:val="decimal"/>
      <w:pStyle w:val="10"/>
      <w:lvlText w:val="%1.%2.%3.%4.%5.%6.%7.%8.%9"/>
      <w:lvlJc w:val="left"/>
      <w:pPr>
        <w:tabs>
          <w:tab w:val="left" w:pos="1584"/>
        </w:tabs>
        <w:ind w:left="1584" w:hanging="1584"/>
      </w:pPr>
      <w:rPr>
        <w:rFonts w:hint="eastAsia" w:ascii="宋体" w:hAnsi="宋体" w:eastAsia="宋体"/>
        <w:b w:val="0"/>
        <w:i w:val="0"/>
        <w:sz w:val="24"/>
        <w:szCs w:val="24"/>
      </w:rPr>
    </w:lvl>
  </w:abstractNum>
  <w:abstractNum w:abstractNumId="15">
    <w:nsid w:val="6322D25B"/>
    <w:multiLevelType w:val="singleLevel"/>
    <w:tmpl w:val="6322D25B"/>
    <w:lvl w:ilvl="0" w:tentative="0">
      <w:start w:val="1"/>
      <w:numFmt w:val="decimal"/>
      <w:suff w:val="nothing"/>
      <w:lvlText w:val="%1、"/>
      <w:lvlJc w:val="left"/>
    </w:lvl>
  </w:abstractNum>
  <w:abstractNum w:abstractNumId="16">
    <w:nsid w:val="6322D30E"/>
    <w:multiLevelType w:val="singleLevel"/>
    <w:tmpl w:val="6322D30E"/>
    <w:lvl w:ilvl="0" w:tentative="0">
      <w:start w:val="1"/>
      <w:numFmt w:val="decimal"/>
      <w:suff w:val="nothing"/>
      <w:lvlText w:val="%1、"/>
      <w:lvlJc w:val="left"/>
    </w:lvl>
  </w:abstractNum>
  <w:abstractNum w:abstractNumId="17">
    <w:nsid w:val="646260FA"/>
    <w:multiLevelType w:val="multilevel"/>
    <w:tmpl w:val="646260FA"/>
    <w:lvl w:ilvl="0" w:tentative="0">
      <w:start w:val="1"/>
      <w:numFmt w:val="decimal"/>
      <w:pStyle w:val="13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6CEA2025"/>
    <w:multiLevelType w:val="multilevel"/>
    <w:tmpl w:val="6CEA2025"/>
    <w:lvl w:ilvl="0" w:tentative="0">
      <w:start w:val="1"/>
      <w:numFmt w:val="none"/>
      <w:pStyle w:val="139"/>
      <w:suff w:val="nothing"/>
      <w:lvlText w:val="%1"/>
      <w:lvlJc w:val="left"/>
      <w:pPr>
        <w:ind w:left="0" w:firstLine="0"/>
      </w:pPr>
      <w:rPr>
        <w:rFonts w:hint="default" w:ascii="Times New Roman" w:hAnsi="Times New Roman"/>
        <w:b/>
        <w:i w:val="0"/>
        <w:sz w:val="21"/>
      </w:rPr>
    </w:lvl>
    <w:lvl w:ilvl="1" w:tentative="0">
      <w:start w:val="1"/>
      <w:numFmt w:val="decimal"/>
      <w:pStyle w:val="140"/>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143"/>
      <w:suff w:val="nothing"/>
      <w:lvlText w:val="%1%2.%3.%4　"/>
      <w:lvlJc w:val="left"/>
      <w:pPr>
        <w:ind w:left="0" w:firstLine="0"/>
      </w:pPr>
      <w:rPr>
        <w:rFonts w:hint="eastAsia" w:ascii="黑体" w:hAnsi="Times New Roman" w:eastAsia="黑体"/>
        <w:b w:val="0"/>
        <w:i w:val="0"/>
        <w:sz w:val="21"/>
      </w:rPr>
    </w:lvl>
    <w:lvl w:ilvl="4" w:tentative="0">
      <w:start w:val="1"/>
      <w:numFmt w:val="decimal"/>
      <w:pStyle w:val="144"/>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7EF51DF5"/>
    <w:multiLevelType w:val="singleLevel"/>
    <w:tmpl w:val="7EF51DF5"/>
    <w:lvl w:ilvl="0" w:tentative="0">
      <w:start w:val="1"/>
      <w:numFmt w:val="bullet"/>
      <w:lvlText w:val=""/>
      <w:lvlJc w:val="left"/>
      <w:pPr>
        <w:ind w:left="420" w:hanging="420"/>
      </w:pPr>
      <w:rPr>
        <w:rFonts w:hint="default" w:ascii="Wingdings" w:hAnsi="Wingdings"/>
      </w:rPr>
    </w:lvl>
  </w:abstractNum>
  <w:num w:numId="1">
    <w:abstractNumId w:val="2"/>
  </w:num>
  <w:num w:numId="2">
    <w:abstractNumId w:val="14"/>
  </w:num>
  <w:num w:numId="3">
    <w:abstractNumId w:val="3"/>
  </w:num>
  <w:num w:numId="4">
    <w:abstractNumId w:val="5"/>
  </w:num>
  <w:num w:numId="5">
    <w:abstractNumId w:val="17"/>
  </w:num>
  <w:num w:numId="6">
    <w:abstractNumId w:val="18"/>
  </w:num>
  <w:num w:numId="7">
    <w:abstractNumId w:val="8"/>
  </w:num>
  <w:num w:numId="8">
    <w:abstractNumId w:val="6"/>
  </w:num>
  <w:num w:numId="9">
    <w:abstractNumId w:val="13"/>
  </w:num>
  <w:num w:numId="10">
    <w:abstractNumId w:val="1"/>
  </w:num>
  <w:num w:numId="11">
    <w:abstractNumId w:val="4"/>
  </w:num>
  <w:num w:numId="12">
    <w:abstractNumId w:val="10"/>
  </w:num>
  <w:num w:numId="13">
    <w:abstractNumId w:val="12"/>
  </w:num>
  <w:num w:numId="14">
    <w:abstractNumId w:val="9"/>
  </w:num>
  <w:num w:numId="15">
    <w:abstractNumId w:val="11"/>
  </w:num>
  <w:num w:numId="16">
    <w:abstractNumId w:val="15"/>
  </w:num>
  <w:num w:numId="17">
    <w:abstractNumId w:val="0"/>
  </w:num>
  <w:num w:numId="18">
    <w:abstractNumId w:val="19"/>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421"/>
    <w:rsid w:val="00017831"/>
    <w:rsid w:val="000215C6"/>
    <w:rsid w:val="00026DFF"/>
    <w:rsid w:val="00037845"/>
    <w:rsid w:val="000431CE"/>
    <w:rsid w:val="00091022"/>
    <w:rsid w:val="000931A4"/>
    <w:rsid w:val="000C2A44"/>
    <w:rsid w:val="000D145D"/>
    <w:rsid w:val="000D6A15"/>
    <w:rsid w:val="000D6A24"/>
    <w:rsid w:val="000F4437"/>
    <w:rsid w:val="000F4488"/>
    <w:rsid w:val="001065D4"/>
    <w:rsid w:val="00110974"/>
    <w:rsid w:val="00125D7E"/>
    <w:rsid w:val="00145B2D"/>
    <w:rsid w:val="00164BEC"/>
    <w:rsid w:val="00176A45"/>
    <w:rsid w:val="001933A1"/>
    <w:rsid w:val="001A5E1E"/>
    <w:rsid w:val="001A6F11"/>
    <w:rsid w:val="001D2F80"/>
    <w:rsid w:val="001D457F"/>
    <w:rsid w:val="001E3AFA"/>
    <w:rsid w:val="001F15E1"/>
    <w:rsid w:val="001F1F2A"/>
    <w:rsid w:val="001F432B"/>
    <w:rsid w:val="00210006"/>
    <w:rsid w:val="00215A9C"/>
    <w:rsid w:val="00227762"/>
    <w:rsid w:val="002303B7"/>
    <w:rsid w:val="00255E03"/>
    <w:rsid w:val="002569FC"/>
    <w:rsid w:val="002652BC"/>
    <w:rsid w:val="00274C14"/>
    <w:rsid w:val="00277704"/>
    <w:rsid w:val="00277873"/>
    <w:rsid w:val="002833A2"/>
    <w:rsid w:val="0029573B"/>
    <w:rsid w:val="002A1BBB"/>
    <w:rsid w:val="002A593C"/>
    <w:rsid w:val="002E1189"/>
    <w:rsid w:val="002E268D"/>
    <w:rsid w:val="003313B0"/>
    <w:rsid w:val="00344C16"/>
    <w:rsid w:val="00344F19"/>
    <w:rsid w:val="00364B69"/>
    <w:rsid w:val="003667EE"/>
    <w:rsid w:val="0037180C"/>
    <w:rsid w:val="003726A6"/>
    <w:rsid w:val="00383C56"/>
    <w:rsid w:val="003859D3"/>
    <w:rsid w:val="003978A9"/>
    <w:rsid w:val="003A21B1"/>
    <w:rsid w:val="003A3322"/>
    <w:rsid w:val="003B451B"/>
    <w:rsid w:val="003B6731"/>
    <w:rsid w:val="003C2651"/>
    <w:rsid w:val="003C51F1"/>
    <w:rsid w:val="003C75EE"/>
    <w:rsid w:val="00401C46"/>
    <w:rsid w:val="00431B73"/>
    <w:rsid w:val="0043684F"/>
    <w:rsid w:val="004412AA"/>
    <w:rsid w:val="00442FF6"/>
    <w:rsid w:val="00452A5C"/>
    <w:rsid w:val="00454B37"/>
    <w:rsid w:val="00456461"/>
    <w:rsid w:val="00457745"/>
    <w:rsid w:val="00457B17"/>
    <w:rsid w:val="004614EF"/>
    <w:rsid w:val="00463058"/>
    <w:rsid w:val="004B20D7"/>
    <w:rsid w:val="004C14B5"/>
    <w:rsid w:val="004D4309"/>
    <w:rsid w:val="004D71B4"/>
    <w:rsid w:val="004F54AB"/>
    <w:rsid w:val="004F58AA"/>
    <w:rsid w:val="004F7B70"/>
    <w:rsid w:val="0050395F"/>
    <w:rsid w:val="00506C68"/>
    <w:rsid w:val="0051590B"/>
    <w:rsid w:val="005216DC"/>
    <w:rsid w:val="00524C6F"/>
    <w:rsid w:val="00534976"/>
    <w:rsid w:val="00536456"/>
    <w:rsid w:val="005365DC"/>
    <w:rsid w:val="0055402C"/>
    <w:rsid w:val="00561F01"/>
    <w:rsid w:val="00570434"/>
    <w:rsid w:val="005850A5"/>
    <w:rsid w:val="005937E5"/>
    <w:rsid w:val="005B079C"/>
    <w:rsid w:val="005C5608"/>
    <w:rsid w:val="005D6348"/>
    <w:rsid w:val="005E337F"/>
    <w:rsid w:val="005F07B5"/>
    <w:rsid w:val="005F0E2D"/>
    <w:rsid w:val="005F1FC3"/>
    <w:rsid w:val="005F6146"/>
    <w:rsid w:val="006009A7"/>
    <w:rsid w:val="0060173A"/>
    <w:rsid w:val="00631DCB"/>
    <w:rsid w:val="0064672C"/>
    <w:rsid w:val="00647241"/>
    <w:rsid w:val="00656C60"/>
    <w:rsid w:val="00663254"/>
    <w:rsid w:val="006677FE"/>
    <w:rsid w:val="00672022"/>
    <w:rsid w:val="00676C22"/>
    <w:rsid w:val="006924B5"/>
    <w:rsid w:val="006A2B52"/>
    <w:rsid w:val="006B3CE7"/>
    <w:rsid w:val="006B431E"/>
    <w:rsid w:val="006B72AE"/>
    <w:rsid w:val="006D6878"/>
    <w:rsid w:val="006F2FF1"/>
    <w:rsid w:val="006F50FD"/>
    <w:rsid w:val="00723824"/>
    <w:rsid w:val="00732050"/>
    <w:rsid w:val="007405DE"/>
    <w:rsid w:val="00752311"/>
    <w:rsid w:val="007549AB"/>
    <w:rsid w:val="007749A4"/>
    <w:rsid w:val="007A5884"/>
    <w:rsid w:val="007D67E8"/>
    <w:rsid w:val="007E3C33"/>
    <w:rsid w:val="007F6D5B"/>
    <w:rsid w:val="0080603E"/>
    <w:rsid w:val="008228DB"/>
    <w:rsid w:val="00824535"/>
    <w:rsid w:val="00827987"/>
    <w:rsid w:val="00840B27"/>
    <w:rsid w:val="008540A6"/>
    <w:rsid w:val="00860A3A"/>
    <w:rsid w:val="00874C19"/>
    <w:rsid w:val="00887C3B"/>
    <w:rsid w:val="008900BB"/>
    <w:rsid w:val="00895EB9"/>
    <w:rsid w:val="008A7C71"/>
    <w:rsid w:val="008B5106"/>
    <w:rsid w:val="008D6018"/>
    <w:rsid w:val="008D6B7B"/>
    <w:rsid w:val="008E595F"/>
    <w:rsid w:val="009049F6"/>
    <w:rsid w:val="00921C3E"/>
    <w:rsid w:val="0094433B"/>
    <w:rsid w:val="00950437"/>
    <w:rsid w:val="009570B7"/>
    <w:rsid w:val="00970978"/>
    <w:rsid w:val="00971754"/>
    <w:rsid w:val="009729A6"/>
    <w:rsid w:val="009842A3"/>
    <w:rsid w:val="009A403A"/>
    <w:rsid w:val="00A071B3"/>
    <w:rsid w:val="00A17792"/>
    <w:rsid w:val="00A22170"/>
    <w:rsid w:val="00A27EE3"/>
    <w:rsid w:val="00A3692E"/>
    <w:rsid w:val="00A36BEF"/>
    <w:rsid w:val="00A40C1F"/>
    <w:rsid w:val="00A41297"/>
    <w:rsid w:val="00A43733"/>
    <w:rsid w:val="00A6079B"/>
    <w:rsid w:val="00A83FA3"/>
    <w:rsid w:val="00A9335D"/>
    <w:rsid w:val="00A93833"/>
    <w:rsid w:val="00A9645A"/>
    <w:rsid w:val="00A96CE3"/>
    <w:rsid w:val="00AA19E8"/>
    <w:rsid w:val="00AB1D80"/>
    <w:rsid w:val="00AB630A"/>
    <w:rsid w:val="00AC6161"/>
    <w:rsid w:val="00AD72D0"/>
    <w:rsid w:val="00AE1CEB"/>
    <w:rsid w:val="00AE2649"/>
    <w:rsid w:val="00AE3AFD"/>
    <w:rsid w:val="00AE44E9"/>
    <w:rsid w:val="00B07564"/>
    <w:rsid w:val="00B53617"/>
    <w:rsid w:val="00B5623F"/>
    <w:rsid w:val="00B85662"/>
    <w:rsid w:val="00B97B07"/>
    <w:rsid w:val="00BB3E8F"/>
    <w:rsid w:val="00BC036A"/>
    <w:rsid w:val="00BE421D"/>
    <w:rsid w:val="00BF542B"/>
    <w:rsid w:val="00C03513"/>
    <w:rsid w:val="00C053DC"/>
    <w:rsid w:val="00C22210"/>
    <w:rsid w:val="00C24FCE"/>
    <w:rsid w:val="00C35FA4"/>
    <w:rsid w:val="00C36440"/>
    <w:rsid w:val="00C44BEC"/>
    <w:rsid w:val="00C521F5"/>
    <w:rsid w:val="00C552DA"/>
    <w:rsid w:val="00C61AFB"/>
    <w:rsid w:val="00C803A5"/>
    <w:rsid w:val="00C9004E"/>
    <w:rsid w:val="00C978F6"/>
    <w:rsid w:val="00CC7421"/>
    <w:rsid w:val="00CD30A5"/>
    <w:rsid w:val="00CD66A3"/>
    <w:rsid w:val="00CE49A8"/>
    <w:rsid w:val="00CF209A"/>
    <w:rsid w:val="00D25878"/>
    <w:rsid w:val="00D3163D"/>
    <w:rsid w:val="00D37B8E"/>
    <w:rsid w:val="00D402BB"/>
    <w:rsid w:val="00D42301"/>
    <w:rsid w:val="00D6399F"/>
    <w:rsid w:val="00D77256"/>
    <w:rsid w:val="00D85BFA"/>
    <w:rsid w:val="00D9253F"/>
    <w:rsid w:val="00DA123A"/>
    <w:rsid w:val="00DB0088"/>
    <w:rsid w:val="00DF69B5"/>
    <w:rsid w:val="00E01D19"/>
    <w:rsid w:val="00E06F31"/>
    <w:rsid w:val="00E16900"/>
    <w:rsid w:val="00E35C9A"/>
    <w:rsid w:val="00E53284"/>
    <w:rsid w:val="00E65A1C"/>
    <w:rsid w:val="00E7162C"/>
    <w:rsid w:val="00E73800"/>
    <w:rsid w:val="00E73A09"/>
    <w:rsid w:val="00E75AAA"/>
    <w:rsid w:val="00E77CF5"/>
    <w:rsid w:val="00E84945"/>
    <w:rsid w:val="00E9288E"/>
    <w:rsid w:val="00E95956"/>
    <w:rsid w:val="00EB0778"/>
    <w:rsid w:val="00EB7AEC"/>
    <w:rsid w:val="00EB7C47"/>
    <w:rsid w:val="00EC1432"/>
    <w:rsid w:val="00EC2442"/>
    <w:rsid w:val="00F05163"/>
    <w:rsid w:val="00F16D35"/>
    <w:rsid w:val="00F5764C"/>
    <w:rsid w:val="00F73523"/>
    <w:rsid w:val="00F96807"/>
    <w:rsid w:val="00F96969"/>
    <w:rsid w:val="00F96B4A"/>
    <w:rsid w:val="00FA555E"/>
    <w:rsid w:val="00FC2691"/>
    <w:rsid w:val="00FE309C"/>
    <w:rsid w:val="00FE69A5"/>
    <w:rsid w:val="00FF0229"/>
    <w:rsid w:val="011B2611"/>
    <w:rsid w:val="013E6CEA"/>
    <w:rsid w:val="018971DF"/>
    <w:rsid w:val="01BA4DF6"/>
    <w:rsid w:val="01E10A84"/>
    <w:rsid w:val="021212DE"/>
    <w:rsid w:val="02264801"/>
    <w:rsid w:val="02290222"/>
    <w:rsid w:val="023B491B"/>
    <w:rsid w:val="031C0B88"/>
    <w:rsid w:val="032E18D3"/>
    <w:rsid w:val="03313D52"/>
    <w:rsid w:val="035E3E9D"/>
    <w:rsid w:val="041D11C2"/>
    <w:rsid w:val="045D4E4D"/>
    <w:rsid w:val="04CB4DAB"/>
    <w:rsid w:val="04DD0C2D"/>
    <w:rsid w:val="05722E85"/>
    <w:rsid w:val="05A80026"/>
    <w:rsid w:val="05AD6C76"/>
    <w:rsid w:val="06012FFF"/>
    <w:rsid w:val="06574539"/>
    <w:rsid w:val="066D685D"/>
    <w:rsid w:val="06794613"/>
    <w:rsid w:val="06DC20AE"/>
    <w:rsid w:val="06EF53FF"/>
    <w:rsid w:val="072C0F7E"/>
    <w:rsid w:val="08326F9E"/>
    <w:rsid w:val="08C265E8"/>
    <w:rsid w:val="09B10102"/>
    <w:rsid w:val="09B16AF1"/>
    <w:rsid w:val="09EF3BF1"/>
    <w:rsid w:val="0A3B6B4E"/>
    <w:rsid w:val="0A8B43BD"/>
    <w:rsid w:val="0A9E038E"/>
    <w:rsid w:val="0C0851DB"/>
    <w:rsid w:val="0C12289D"/>
    <w:rsid w:val="0C5B53EE"/>
    <w:rsid w:val="0C7C5861"/>
    <w:rsid w:val="0C9471A8"/>
    <w:rsid w:val="0CA04709"/>
    <w:rsid w:val="0CBF4C5B"/>
    <w:rsid w:val="0D157A13"/>
    <w:rsid w:val="0D2B17F5"/>
    <w:rsid w:val="0D6D7EF8"/>
    <w:rsid w:val="0DAE1F83"/>
    <w:rsid w:val="0DBE2899"/>
    <w:rsid w:val="0DC331A1"/>
    <w:rsid w:val="0DC93DB0"/>
    <w:rsid w:val="0E2961FC"/>
    <w:rsid w:val="0E4E403E"/>
    <w:rsid w:val="0E6F7F41"/>
    <w:rsid w:val="0F177916"/>
    <w:rsid w:val="0F21150E"/>
    <w:rsid w:val="0F342E1D"/>
    <w:rsid w:val="0FBF6DC1"/>
    <w:rsid w:val="102E7571"/>
    <w:rsid w:val="104E6BC0"/>
    <w:rsid w:val="108C4226"/>
    <w:rsid w:val="10D86DF2"/>
    <w:rsid w:val="11276166"/>
    <w:rsid w:val="114232B7"/>
    <w:rsid w:val="11634536"/>
    <w:rsid w:val="118C1200"/>
    <w:rsid w:val="11E33FC2"/>
    <w:rsid w:val="11F15C7D"/>
    <w:rsid w:val="121662E6"/>
    <w:rsid w:val="12180A7D"/>
    <w:rsid w:val="121C1389"/>
    <w:rsid w:val="121F1FB2"/>
    <w:rsid w:val="12477155"/>
    <w:rsid w:val="129B6133"/>
    <w:rsid w:val="12DF45C2"/>
    <w:rsid w:val="12EA405B"/>
    <w:rsid w:val="131C7472"/>
    <w:rsid w:val="13557405"/>
    <w:rsid w:val="13D652E1"/>
    <w:rsid w:val="140B3D53"/>
    <w:rsid w:val="141A161C"/>
    <w:rsid w:val="14474342"/>
    <w:rsid w:val="146438FF"/>
    <w:rsid w:val="149D0085"/>
    <w:rsid w:val="1511443D"/>
    <w:rsid w:val="15363C35"/>
    <w:rsid w:val="153F3FB0"/>
    <w:rsid w:val="15967126"/>
    <w:rsid w:val="15AF19E7"/>
    <w:rsid w:val="15CA5CDB"/>
    <w:rsid w:val="15D86678"/>
    <w:rsid w:val="15DB0BD3"/>
    <w:rsid w:val="15EB51F7"/>
    <w:rsid w:val="162C61F1"/>
    <w:rsid w:val="1633382E"/>
    <w:rsid w:val="163459FC"/>
    <w:rsid w:val="163E6B2F"/>
    <w:rsid w:val="16CB3C45"/>
    <w:rsid w:val="17354B85"/>
    <w:rsid w:val="181402E3"/>
    <w:rsid w:val="18392759"/>
    <w:rsid w:val="185A7C25"/>
    <w:rsid w:val="189A7C21"/>
    <w:rsid w:val="18D676D5"/>
    <w:rsid w:val="1962452F"/>
    <w:rsid w:val="19D036F8"/>
    <w:rsid w:val="19EC25E5"/>
    <w:rsid w:val="19F17EBA"/>
    <w:rsid w:val="1A192252"/>
    <w:rsid w:val="1A3C5485"/>
    <w:rsid w:val="1A3F5E0E"/>
    <w:rsid w:val="1A5F67CB"/>
    <w:rsid w:val="1AB972D7"/>
    <w:rsid w:val="1AE60016"/>
    <w:rsid w:val="1B5134F6"/>
    <w:rsid w:val="1B722A0B"/>
    <w:rsid w:val="1BB72BDD"/>
    <w:rsid w:val="1BCC379F"/>
    <w:rsid w:val="1BDC48D4"/>
    <w:rsid w:val="1C5D0981"/>
    <w:rsid w:val="1C7F0E34"/>
    <w:rsid w:val="1CC47641"/>
    <w:rsid w:val="1CCF711E"/>
    <w:rsid w:val="1CE47660"/>
    <w:rsid w:val="1D5A1E4B"/>
    <w:rsid w:val="1DBC071C"/>
    <w:rsid w:val="1DBE5F5B"/>
    <w:rsid w:val="1DC05787"/>
    <w:rsid w:val="1E950A2B"/>
    <w:rsid w:val="1F004A21"/>
    <w:rsid w:val="1F061DB7"/>
    <w:rsid w:val="1F1C11D6"/>
    <w:rsid w:val="1F381B1E"/>
    <w:rsid w:val="1F501720"/>
    <w:rsid w:val="1F8804F5"/>
    <w:rsid w:val="20012888"/>
    <w:rsid w:val="20C96FA9"/>
    <w:rsid w:val="20F26822"/>
    <w:rsid w:val="213A656E"/>
    <w:rsid w:val="21F02579"/>
    <w:rsid w:val="22336578"/>
    <w:rsid w:val="22991194"/>
    <w:rsid w:val="22FF020D"/>
    <w:rsid w:val="23497A41"/>
    <w:rsid w:val="239244F2"/>
    <w:rsid w:val="23B01771"/>
    <w:rsid w:val="23C12F77"/>
    <w:rsid w:val="240B221D"/>
    <w:rsid w:val="2450106F"/>
    <w:rsid w:val="24633F93"/>
    <w:rsid w:val="246D2CD8"/>
    <w:rsid w:val="24BE53E0"/>
    <w:rsid w:val="24DE3C3E"/>
    <w:rsid w:val="2509613A"/>
    <w:rsid w:val="253A155C"/>
    <w:rsid w:val="25B507A5"/>
    <w:rsid w:val="25B752A9"/>
    <w:rsid w:val="25C91F9E"/>
    <w:rsid w:val="25E97916"/>
    <w:rsid w:val="26261E70"/>
    <w:rsid w:val="2636719A"/>
    <w:rsid w:val="264B11AB"/>
    <w:rsid w:val="26AF33EF"/>
    <w:rsid w:val="274A5723"/>
    <w:rsid w:val="27850E01"/>
    <w:rsid w:val="278C6B78"/>
    <w:rsid w:val="27A951A7"/>
    <w:rsid w:val="2805189B"/>
    <w:rsid w:val="283C7BC7"/>
    <w:rsid w:val="285B4B89"/>
    <w:rsid w:val="2887777F"/>
    <w:rsid w:val="28E547EE"/>
    <w:rsid w:val="291A0C72"/>
    <w:rsid w:val="29A11AD9"/>
    <w:rsid w:val="29A72778"/>
    <w:rsid w:val="2A6540E6"/>
    <w:rsid w:val="2A835CE7"/>
    <w:rsid w:val="2A9920B0"/>
    <w:rsid w:val="2AB567AD"/>
    <w:rsid w:val="2ABE65F0"/>
    <w:rsid w:val="2AE80267"/>
    <w:rsid w:val="2B342280"/>
    <w:rsid w:val="2B65752B"/>
    <w:rsid w:val="2B83512B"/>
    <w:rsid w:val="2BCA27E6"/>
    <w:rsid w:val="2BCF21C8"/>
    <w:rsid w:val="2BE26D57"/>
    <w:rsid w:val="2C5A1318"/>
    <w:rsid w:val="2C976A35"/>
    <w:rsid w:val="2D020019"/>
    <w:rsid w:val="2D6338E6"/>
    <w:rsid w:val="2DD4736B"/>
    <w:rsid w:val="2DDA25E8"/>
    <w:rsid w:val="2DE36A6C"/>
    <w:rsid w:val="2EFD7B12"/>
    <w:rsid w:val="2FF325DB"/>
    <w:rsid w:val="3054358A"/>
    <w:rsid w:val="305976E2"/>
    <w:rsid w:val="30E73D78"/>
    <w:rsid w:val="30FA3B09"/>
    <w:rsid w:val="31140492"/>
    <w:rsid w:val="312F4B4F"/>
    <w:rsid w:val="31AC45B8"/>
    <w:rsid w:val="3255187C"/>
    <w:rsid w:val="325779E7"/>
    <w:rsid w:val="3276367E"/>
    <w:rsid w:val="32AE741D"/>
    <w:rsid w:val="32B41C17"/>
    <w:rsid w:val="32B51299"/>
    <w:rsid w:val="32C6159C"/>
    <w:rsid w:val="32DA1156"/>
    <w:rsid w:val="32DE25EB"/>
    <w:rsid w:val="330343F2"/>
    <w:rsid w:val="331852E1"/>
    <w:rsid w:val="33604D1D"/>
    <w:rsid w:val="3387537C"/>
    <w:rsid w:val="33945BDA"/>
    <w:rsid w:val="33B271A8"/>
    <w:rsid w:val="34053A37"/>
    <w:rsid w:val="342250FA"/>
    <w:rsid w:val="34360160"/>
    <w:rsid w:val="356C7922"/>
    <w:rsid w:val="35D670CA"/>
    <w:rsid w:val="35E92064"/>
    <w:rsid w:val="361C231A"/>
    <w:rsid w:val="369C10EC"/>
    <w:rsid w:val="36A80CC3"/>
    <w:rsid w:val="37170AE7"/>
    <w:rsid w:val="37374D18"/>
    <w:rsid w:val="373840A8"/>
    <w:rsid w:val="37880A1B"/>
    <w:rsid w:val="3793572F"/>
    <w:rsid w:val="37BE3CA2"/>
    <w:rsid w:val="37F215DC"/>
    <w:rsid w:val="380E7E5A"/>
    <w:rsid w:val="3813484C"/>
    <w:rsid w:val="38205332"/>
    <w:rsid w:val="382250A8"/>
    <w:rsid w:val="3854772E"/>
    <w:rsid w:val="38A05B51"/>
    <w:rsid w:val="390E29BE"/>
    <w:rsid w:val="396D356E"/>
    <w:rsid w:val="398824CB"/>
    <w:rsid w:val="39BE68D6"/>
    <w:rsid w:val="39C61BD1"/>
    <w:rsid w:val="3A675750"/>
    <w:rsid w:val="3AD1405B"/>
    <w:rsid w:val="3AE471C4"/>
    <w:rsid w:val="3B3625BE"/>
    <w:rsid w:val="3B463D8D"/>
    <w:rsid w:val="3BED36C0"/>
    <w:rsid w:val="3C1942F2"/>
    <w:rsid w:val="3CA502E4"/>
    <w:rsid w:val="3CA76D5A"/>
    <w:rsid w:val="3D0A70F6"/>
    <w:rsid w:val="3D615FA7"/>
    <w:rsid w:val="3D691D97"/>
    <w:rsid w:val="3D777765"/>
    <w:rsid w:val="3DA57058"/>
    <w:rsid w:val="3DA92907"/>
    <w:rsid w:val="3DAC4727"/>
    <w:rsid w:val="3DF169CC"/>
    <w:rsid w:val="3E175F2F"/>
    <w:rsid w:val="3E7134E5"/>
    <w:rsid w:val="3E862CDB"/>
    <w:rsid w:val="3EAF74E9"/>
    <w:rsid w:val="3EBE0956"/>
    <w:rsid w:val="3EBF33C0"/>
    <w:rsid w:val="3F7A7B3F"/>
    <w:rsid w:val="3FA26DF0"/>
    <w:rsid w:val="402578E0"/>
    <w:rsid w:val="404370EE"/>
    <w:rsid w:val="4047239B"/>
    <w:rsid w:val="40566E2C"/>
    <w:rsid w:val="40F22A13"/>
    <w:rsid w:val="410E4093"/>
    <w:rsid w:val="41B76A93"/>
    <w:rsid w:val="41CF18BC"/>
    <w:rsid w:val="42237702"/>
    <w:rsid w:val="42373217"/>
    <w:rsid w:val="42B44CA7"/>
    <w:rsid w:val="43791AB3"/>
    <w:rsid w:val="43D27E7D"/>
    <w:rsid w:val="43D870C5"/>
    <w:rsid w:val="444E7D45"/>
    <w:rsid w:val="44771E32"/>
    <w:rsid w:val="449B32AC"/>
    <w:rsid w:val="44F40854"/>
    <w:rsid w:val="45220422"/>
    <w:rsid w:val="455F4D46"/>
    <w:rsid w:val="45995119"/>
    <w:rsid w:val="45AA3E31"/>
    <w:rsid w:val="45D62A4A"/>
    <w:rsid w:val="45E246B1"/>
    <w:rsid w:val="46323EE5"/>
    <w:rsid w:val="464F5FD2"/>
    <w:rsid w:val="46726CEE"/>
    <w:rsid w:val="469A0699"/>
    <w:rsid w:val="46D9192F"/>
    <w:rsid w:val="47211A11"/>
    <w:rsid w:val="47251C4B"/>
    <w:rsid w:val="4731533A"/>
    <w:rsid w:val="4753720A"/>
    <w:rsid w:val="47E3006D"/>
    <w:rsid w:val="48554E8D"/>
    <w:rsid w:val="48625B24"/>
    <w:rsid w:val="48856F95"/>
    <w:rsid w:val="4887578F"/>
    <w:rsid w:val="48C336A3"/>
    <w:rsid w:val="48C77BFF"/>
    <w:rsid w:val="48D143CA"/>
    <w:rsid w:val="49171084"/>
    <w:rsid w:val="4957343A"/>
    <w:rsid w:val="49B50357"/>
    <w:rsid w:val="49F0285E"/>
    <w:rsid w:val="4A35456E"/>
    <w:rsid w:val="4AC92F63"/>
    <w:rsid w:val="4ACF4DA0"/>
    <w:rsid w:val="4AD26D2E"/>
    <w:rsid w:val="4B0853D6"/>
    <w:rsid w:val="4B0A3B33"/>
    <w:rsid w:val="4B2D7DD0"/>
    <w:rsid w:val="4B4B4D7A"/>
    <w:rsid w:val="4B7453EB"/>
    <w:rsid w:val="4B8D2A35"/>
    <w:rsid w:val="4BBE3F9D"/>
    <w:rsid w:val="4BE00CB8"/>
    <w:rsid w:val="4D0274C9"/>
    <w:rsid w:val="4D3E159C"/>
    <w:rsid w:val="4D444C7E"/>
    <w:rsid w:val="4D8F1926"/>
    <w:rsid w:val="4DA20544"/>
    <w:rsid w:val="4DA832B2"/>
    <w:rsid w:val="4DB279A9"/>
    <w:rsid w:val="4DCE26BB"/>
    <w:rsid w:val="4E1744E2"/>
    <w:rsid w:val="4E3D7EAC"/>
    <w:rsid w:val="4E5D73D4"/>
    <w:rsid w:val="4E790C08"/>
    <w:rsid w:val="4F152968"/>
    <w:rsid w:val="4F47693E"/>
    <w:rsid w:val="4F6C7D08"/>
    <w:rsid w:val="504007A3"/>
    <w:rsid w:val="5047571E"/>
    <w:rsid w:val="50762303"/>
    <w:rsid w:val="50795FE7"/>
    <w:rsid w:val="50E5169F"/>
    <w:rsid w:val="50F01810"/>
    <w:rsid w:val="5105362E"/>
    <w:rsid w:val="514A22A9"/>
    <w:rsid w:val="51663786"/>
    <w:rsid w:val="5179056B"/>
    <w:rsid w:val="51807346"/>
    <w:rsid w:val="51BA186D"/>
    <w:rsid w:val="51C428EE"/>
    <w:rsid w:val="51C646B7"/>
    <w:rsid w:val="51DE2287"/>
    <w:rsid w:val="51FE1E44"/>
    <w:rsid w:val="522A6ACE"/>
    <w:rsid w:val="52705BA5"/>
    <w:rsid w:val="52FD485E"/>
    <w:rsid w:val="534335E2"/>
    <w:rsid w:val="538C7369"/>
    <w:rsid w:val="538E1AC7"/>
    <w:rsid w:val="53E06504"/>
    <w:rsid w:val="53E1034D"/>
    <w:rsid w:val="53EA111D"/>
    <w:rsid w:val="548A635E"/>
    <w:rsid w:val="548C126C"/>
    <w:rsid w:val="54DA167D"/>
    <w:rsid w:val="54E35099"/>
    <w:rsid w:val="554E3C72"/>
    <w:rsid w:val="557C09EF"/>
    <w:rsid w:val="55AC3AEB"/>
    <w:rsid w:val="561471F1"/>
    <w:rsid w:val="561B792C"/>
    <w:rsid w:val="56DD4F84"/>
    <w:rsid w:val="56EE5696"/>
    <w:rsid w:val="56EF0D3C"/>
    <w:rsid w:val="56EF683E"/>
    <w:rsid w:val="56FE6448"/>
    <w:rsid w:val="57094BCA"/>
    <w:rsid w:val="57152B64"/>
    <w:rsid w:val="573065D8"/>
    <w:rsid w:val="573C6687"/>
    <w:rsid w:val="57D65429"/>
    <w:rsid w:val="57F24EBD"/>
    <w:rsid w:val="57F369CD"/>
    <w:rsid w:val="57F56DA9"/>
    <w:rsid w:val="57FF02EA"/>
    <w:rsid w:val="58106C55"/>
    <w:rsid w:val="58586EE5"/>
    <w:rsid w:val="58674246"/>
    <w:rsid w:val="58E5209A"/>
    <w:rsid w:val="58E653D6"/>
    <w:rsid w:val="591E76ED"/>
    <w:rsid w:val="595345F5"/>
    <w:rsid w:val="595A5D81"/>
    <w:rsid w:val="59665FAC"/>
    <w:rsid w:val="5A706ED0"/>
    <w:rsid w:val="5AF47A06"/>
    <w:rsid w:val="5B250F71"/>
    <w:rsid w:val="5BDD4D54"/>
    <w:rsid w:val="5C696F91"/>
    <w:rsid w:val="5C8E4854"/>
    <w:rsid w:val="5D1E2195"/>
    <w:rsid w:val="5D36421F"/>
    <w:rsid w:val="5D753C0A"/>
    <w:rsid w:val="5D922742"/>
    <w:rsid w:val="5E266F49"/>
    <w:rsid w:val="5E2E4A02"/>
    <w:rsid w:val="5E713FD7"/>
    <w:rsid w:val="5E823971"/>
    <w:rsid w:val="5EA95393"/>
    <w:rsid w:val="5EB72B5F"/>
    <w:rsid w:val="5EC83520"/>
    <w:rsid w:val="5EDF075F"/>
    <w:rsid w:val="5F2B0844"/>
    <w:rsid w:val="5F923274"/>
    <w:rsid w:val="5FAE721C"/>
    <w:rsid w:val="5FC45FCA"/>
    <w:rsid w:val="603444C0"/>
    <w:rsid w:val="60FB2DDF"/>
    <w:rsid w:val="61027A15"/>
    <w:rsid w:val="6161689A"/>
    <w:rsid w:val="619F6412"/>
    <w:rsid w:val="61F57BED"/>
    <w:rsid w:val="62B57A6D"/>
    <w:rsid w:val="62FF03C4"/>
    <w:rsid w:val="632B175B"/>
    <w:rsid w:val="633D4B61"/>
    <w:rsid w:val="633E52C4"/>
    <w:rsid w:val="636B0C85"/>
    <w:rsid w:val="63945281"/>
    <w:rsid w:val="63BA3989"/>
    <w:rsid w:val="63DC320B"/>
    <w:rsid w:val="641359D4"/>
    <w:rsid w:val="643F5C8F"/>
    <w:rsid w:val="64A44DE0"/>
    <w:rsid w:val="64BA432C"/>
    <w:rsid w:val="64C40C2D"/>
    <w:rsid w:val="64F569F5"/>
    <w:rsid w:val="64F61467"/>
    <w:rsid w:val="64FC741A"/>
    <w:rsid w:val="6521173C"/>
    <w:rsid w:val="65714895"/>
    <w:rsid w:val="65A600BE"/>
    <w:rsid w:val="65A9122A"/>
    <w:rsid w:val="65D031B9"/>
    <w:rsid w:val="662B31AB"/>
    <w:rsid w:val="664730DD"/>
    <w:rsid w:val="66903F5E"/>
    <w:rsid w:val="670F1175"/>
    <w:rsid w:val="674043F7"/>
    <w:rsid w:val="67455667"/>
    <w:rsid w:val="67456A43"/>
    <w:rsid w:val="67711327"/>
    <w:rsid w:val="679D2F56"/>
    <w:rsid w:val="67ED5729"/>
    <w:rsid w:val="680B2FB1"/>
    <w:rsid w:val="681E6647"/>
    <w:rsid w:val="68406CE1"/>
    <w:rsid w:val="6890028C"/>
    <w:rsid w:val="68986BCC"/>
    <w:rsid w:val="691F0276"/>
    <w:rsid w:val="69200140"/>
    <w:rsid w:val="69242D23"/>
    <w:rsid w:val="69281A7C"/>
    <w:rsid w:val="698B0E7B"/>
    <w:rsid w:val="69A343EC"/>
    <w:rsid w:val="69A861A6"/>
    <w:rsid w:val="69B76FB0"/>
    <w:rsid w:val="6A29422B"/>
    <w:rsid w:val="6A583B36"/>
    <w:rsid w:val="6A8361ED"/>
    <w:rsid w:val="6A9E4D01"/>
    <w:rsid w:val="6AB35A04"/>
    <w:rsid w:val="6ACC166D"/>
    <w:rsid w:val="6AF0605E"/>
    <w:rsid w:val="6B1A67CF"/>
    <w:rsid w:val="6B443045"/>
    <w:rsid w:val="6B604063"/>
    <w:rsid w:val="6BAC699D"/>
    <w:rsid w:val="6BF45B0D"/>
    <w:rsid w:val="6C7823B5"/>
    <w:rsid w:val="6C945BD3"/>
    <w:rsid w:val="6C9847BB"/>
    <w:rsid w:val="6CDC72A9"/>
    <w:rsid w:val="6D3B4326"/>
    <w:rsid w:val="6D5C38CE"/>
    <w:rsid w:val="6D94004B"/>
    <w:rsid w:val="6DAB0B97"/>
    <w:rsid w:val="6DB70413"/>
    <w:rsid w:val="6DBE383E"/>
    <w:rsid w:val="6DC25733"/>
    <w:rsid w:val="6E1676D5"/>
    <w:rsid w:val="6E353E26"/>
    <w:rsid w:val="6E864EFD"/>
    <w:rsid w:val="6F2101CE"/>
    <w:rsid w:val="6F4C6800"/>
    <w:rsid w:val="6F585D22"/>
    <w:rsid w:val="6FDB6CA2"/>
    <w:rsid w:val="6FED1347"/>
    <w:rsid w:val="709440AA"/>
    <w:rsid w:val="70AD07D2"/>
    <w:rsid w:val="70AD18BD"/>
    <w:rsid w:val="70B96F0B"/>
    <w:rsid w:val="70D8017F"/>
    <w:rsid w:val="70DC12DB"/>
    <w:rsid w:val="711218F9"/>
    <w:rsid w:val="711503A7"/>
    <w:rsid w:val="71257C6E"/>
    <w:rsid w:val="715B62AC"/>
    <w:rsid w:val="7188777A"/>
    <w:rsid w:val="718A7948"/>
    <w:rsid w:val="71B15409"/>
    <w:rsid w:val="72A16EDB"/>
    <w:rsid w:val="73BC7B45"/>
    <w:rsid w:val="73D34AEE"/>
    <w:rsid w:val="74C44E13"/>
    <w:rsid w:val="74EB09B6"/>
    <w:rsid w:val="750C5393"/>
    <w:rsid w:val="751D02C9"/>
    <w:rsid w:val="758752EB"/>
    <w:rsid w:val="75FF1F00"/>
    <w:rsid w:val="76565827"/>
    <w:rsid w:val="76C00131"/>
    <w:rsid w:val="770B4554"/>
    <w:rsid w:val="770D51FF"/>
    <w:rsid w:val="77576D8C"/>
    <w:rsid w:val="777A5A94"/>
    <w:rsid w:val="77AD2ADA"/>
    <w:rsid w:val="77DB76AD"/>
    <w:rsid w:val="77EE2F56"/>
    <w:rsid w:val="77EF5E1F"/>
    <w:rsid w:val="77FC4321"/>
    <w:rsid w:val="7809217D"/>
    <w:rsid w:val="781C6E1D"/>
    <w:rsid w:val="782519FE"/>
    <w:rsid w:val="789F5630"/>
    <w:rsid w:val="79BD656A"/>
    <w:rsid w:val="79E3152D"/>
    <w:rsid w:val="7A4550C8"/>
    <w:rsid w:val="7B357052"/>
    <w:rsid w:val="7B80125D"/>
    <w:rsid w:val="7BB0076B"/>
    <w:rsid w:val="7BDE687B"/>
    <w:rsid w:val="7C0042F5"/>
    <w:rsid w:val="7C0F20D7"/>
    <w:rsid w:val="7C171F21"/>
    <w:rsid w:val="7C25510A"/>
    <w:rsid w:val="7C2D6072"/>
    <w:rsid w:val="7C564D6D"/>
    <w:rsid w:val="7CD24D67"/>
    <w:rsid w:val="7CD70855"/>
    <w:rsid w:val="7CE603E1"/>
    <w:rsid w:val="7CF578F8"/>
    <w:rsid w:val="7D6C393D"/>
    <w:rsid w:val="7D713323"/>
    <w:rsid w:val="7D7A1F02"/>
    <w:rsid w:val="7D8D0709"/>
    <w:rsid w:val="7D970CE1"/>
    <w:rsid w:val="7E1F3A32"/>
    <w:rsid w:val="7EA34742"/>
    <w:rsid w:val="7EFB0E66"/>
    <w:rsid w:val="7F4C7E2A"/>
    <w:rsid w:val="7F527968"/>
    <w:rsid w:val="7F754861"/>
    <w:rsid w:val="7F8C2B51"/>
    <w:rsid w:val="7FA621DE"/>
    <w:rsid w:val="7FE20CCE"/>
    <w:rsid w:val="7FF63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qFormat="1" w:unhideWhenUsed="0"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0" w:semiHidden="0" w:name="Body Text First Indent"/>
    <w:lsdException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iPriority="0" w:semiHidden="0" w:name="Plain Text"/>
    <w:lsdException w:uiPriority="0" w:name="E-mail Signature"/>
    <w:lsdException w:qFormat="1" w:uiPriority="0" w:semiHidden="0" w:name="Normal (Web)"/>
    <w:lsdException w:qFormat="1" w:uiPriority="0" w:semiHidden="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qFormat="1" w:uiPriority="0" w:semiHidden="0" w:name="HTML Typewriter"/>
    <w:lsdException w:qFormat="1" w:uiPriority="0" w:semiHidden="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184"/>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97"/>
    <w:qFormat/>
    <w:uiPriority w:val="0"/>
    <w:pPr>
      <w:numPr>
        <w:ilvl w:val="1"/>
        <w:numId w:val="1"/>
      </w:numPr>
      <w:tabs>
        <w:tab w:val="left" w:pos="567"/>
        <w:tab w:val="clear" w:pos="0"/>
      </w:tabs>
      <w:snapToGrid w:val="0"/>
      <w:spacing w:before="156" w:beforeLines="50" w:after="156" w:afterLines="50" w:line="360" w:lineRule="auto"/>
      <w:jc w:val="left"/>
      <w:outlineLvl w:val="1"/>
    </w:pPr>
    <w:rPr>
      <w:rFonts w:ascii="宋体" w:hAnsi="宋体"/>
      <w:b/>
      <w:sz w:val="28"/>
    </w:rPr>
  </w:style>
  <w:style w:type="paragraph" w:styleId="4">
    <w:name w:val="heading 3"/>
    <w:basedOn w:val="1"/>
    <w:next w:val="1"/>
    <w:link w:val="198"/>
    <w:qFormat/>
    <w:uiPriority w:val="0"/>
    <w:pPr>
      <w:keepNext/>
      <w:keepLines/>
      <w:spacing w:before="260" w:after="260" w:line="412" w:lineRule="auto"/>
      <w:ind w:firstLine="49" w:firstLineChars="49"/>
      <w:outlineLvl w:val="2"/>
    </w:pPr>
    <w:rPr>
      <w:rFonts w:ascii="黑体" w:eastAsia="黑体"/>
      <w:sz w:val="28"/>
      <w:szCs w:val="20"/>
    </w:rPr>
  </w:style>
  <w:style w:type="paragraph" w:styleId="5">
    <w:name w:val="heading 4"/>
    <w:basedOn w:val="4"/>
    <w:next w:val="1"/>
    <w:link w:val="199"/>
    <w:qFormat/>
    <w:uiPriority w:val="0"/>
    <w:pPr>
      <w:numPr>
        <w:ilvl w:val="3"/>
        <w:numId w:val="2"/>
      </w:numPr>
      <w:spacing w:before="120" w:beforeLines="50" w:line="300" w:lineRule="auto"/>
      <w:outlineLvl w:val="3"/>
    </w:pPr>
    <w:rPr>
      <w:rFonts w:ascii="Arial" w:hAnsi="Arial" w:eastAsia="宋体" w:cs="Times New Roman"/>
      <w:bCs/>
      <w:sz w:val="24"/>
      <w:szCs w:val="24"/>
    </w:rPr>
  </w:style>
  <w:style w:type="paragraph" w:styleId="6">
    <w:name w:val="heading 5"/>
    <w:basedOn w:val="5"/>
    <w:next w:val="1"/>
    <w:link w:val="95"/>
    <w:qFormat/>
    <w:uiPriority w:val="0"/>
    <w:pPr>
      <w:widowControl/>
      <w:numPr>
        <w:ilvl w:val="4"/>
        <w:numId w:val="2"/>
      </w:numPr>
      <w:tabs>
        <w:tab w:val="left" w:pos="2100"/>
        <w:tab w:val="left" w:pos="2580"/>
        <w:tab w:val="clear" w:pos="1008"/>
      </w:tabs>
      <w:adjustRightInd w:val="0"/>
      <w:snapToGrid w:val="0"/>
      <w:ind w:left="2100" w:hanging="420"/>
      <w:outlineLvl w:val="4"/>
    </w:pPr>
    <w:rPr>
      <w:bCs w:val="0"/>
      <w:kern w:val="0"/>
      <w:szCs w:val="20"/>
      <w:lang w:eastAsia="de-DE"/>
    </w:rPr>
  </w:style>
  <w:style w:type="paragraph" w:styleId="7">
    <w:name w:val="heading 6"/>
    <w:basedOn w:val="4"/>
    <w:next w:val="1"/>
    <w:link w:val="96"/>
    <w:qFormat/>
    <w:uiPriority w:val="0"/>
    <w:pPr>
      <w:numPr>
        <w:ilvl w:val="5"/>
        <w:numId w:val="2"/>
      </w:numPr>
      <w:tabs>
        <w:tab w:val="left" w:pos="864"/>
        <w:tab w:val="left" w:pos="1430"/>
        <w:tab w:val="left" w:pos="2100"/>
        <w:tab w:val="left" w:pos="2520"/>
        <w:tab w:val="left" w:pos="2580"/>
        <w:tab w:val="left" w:pos="3000"/>
        <w:tab w:val="clear" w:pos="1152"/>
      </w:tabs>
      <w:ind w:left="2520" w:hanging="420"/>
      <w:outlineLvl w:val="5"/>
    </w:pPr>
  </w:style>
  <w:style w:type="paragraph" w:styleId="8">
    <w:name w:val="heading 7"/>
    <w:basedOn w:val="7"/>
    <w:next w:val="1"/>
    <w:link w:val="97"/>
    <w:qFormat/>
    <w:uiPriority w:val="0"/>
    <w:pPr>
      <w:numPr>
        <w:ilvl w:val="6"/>
        <w:numId w:val="2"/>
      </w:numPr>
      <w:tabs>
        <w:tab w:val="left" w:pos="2940"/>
        <w:tab w:val="left" w:pos="3420"/>
        <w:tab w:val="clear" w:pos="1296"/>
      </w:tabs>
      <w:ind w:left="2940" w:hanging="420"/>
      <w:outlineLvl w:val="6"/>
    </w:pPr>
  </w:style>
  <w:style w:type="paragraph" w:styleId="9">
    <w:name w:val="heading 8"/>
    <w:basedOn w:val="1"/>
    <w:next w:val="1"/>
    <w:link w:val="98"/>
    <w:qFormat/>
    <w:uiPriority w:val="0"/>
    <w:pPr>
      <w:numPr>
        <w:ilvl w:val="7"/>
        <w:numId w:val="2"/>
      </w:numPr>
      <w:tabs>
        <w:tab w:val="left" w:pos="864"/>
        <w:tab w:val="left" w:pos="1430"/>
        <w:tab w:val="left" w:pos="2100"/>
        <w:tab w:val="left" w:pos="2520"/>
        <w:tab w:val="left" w:pos="2580"/>
        <w:tab w:val="left" w:pos="2940"/>
        <w:tab w:val="left" w:pos="3000"/>
        <w:tab w:val="left" w:pos="3360"/>
        <w:tab w:val="left" w:pos="3420"/>
        <w:tab w:val="left" w:pos="3840"/>
        <w:tab w:val="clear" w:pos="1440"/>
      </w:tabs>
      <w:ind w:left="3360" w:hanging="420"/>
      <w:outlineLvl w:val="7"/>
    </w:pPr>
  </w:style>
  <w:style w:type="paragraph" w:styleId="10">
    <w:name w:val="heading 9"/>
    <w:basedOn w:val="1"/>
    <w:next w:val="1"/>
    <w:link w:val="99"/>
    <w:qFormat/>
    <w:uiPriority w:val="0"/>
    <w:pPr>
      <w:numPr>
        <w:ilvl w:val="8"/>
        <w:numId w:val="2"/>
      </w:numPr>
      <w:tabs>
        <w:tab w:val="left" w:pos="864"/>
        <w:tab w:val="left" w:pos="1430"/>
        <w:tab w:val="left" w:pos="2100"/>
        <w:tab w:val="left" w:pos="2520"/>
        <w:tab w:val="left" w:pos="2580"/>
        <w:tab w:val="left" w:pos="2940"/>
        <w:tab w:val="left" w:pos="3000"/>
        <w:tab w:val="left" w:pos="3360"/>
        <w:tab w:val="left" w:pos="3420"/>
        <w:tab w:val="left" w:pos="3780"/>
        <w:tab w:val="left" w:pos="3840"/>
        <w:tab w:val="left" w:pos="4260"/>
        <w:tab w:val="clear" w:pos="1584"/>
      </w:tabs>
      <w:ind w:left="3780" w:hanging="420"/>
      <w:outlineLvl w:val="8"/>
    </w:pPr>
  </w:style>
  <w:style w:type="character" w:default="1" w:styleId="44">
    <w:name w:val="Default Paragraph Font"/>
    <w:link w:val="45"/>
    <w:unhideWhenUsed/>
    <w:qFormat/>
    <w:uiPriority w:val="1"/>
    <w:rPr>
      <w:szCs w:val="24"/>
    </w:rPr>
  </w:style>
  <w:style w:type="table" w:default="1" w:styleId="6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11">
    <w:name w:val="annotation subject"/>
    <w:basedOn w:val="12"/>
    <w:next w:val="12"/>
    <w:unhideWhenUsed/>
    <w:qFormat/>
    <w:uiPriority w:val="0"/>
    <w:rPr>
      <w:b/>
      <w:bCs/>
    </w:rPr>
  </w:style>
  <w:style w:type="paragraph" w:styleId="12">
    <w:name w:val="annotation text"/>
    <w:basedOn w:val="1"/>
    <w:unhideWhenUsed/>
    <w:qFormat/>
    <w:uiPriority w:val="0"/>
    <w:pPr>
      <w:jc w:val="left"/>
    </w:pPr>
    <w:rPr>
      <w:rFonts w:ascii="Times New Roman" w:hAnsi="Times New Roman" w:eastAsia="宋体" w:cs="Times New Roman"/>
      <w:szCs w:val="24"/>
    </w:rPr>
  </w:style>
  <w:style w:type="paragraph" w:styleId="13">
    <w:name w:val="toc 7"/>
    <w:basedOn w:val="1"/>
    <w:next w:val="1"/>
    <w:unhideWhenUsed/>
    <w:qFormat/>
    <w:uiPriority w:val="0"/>
    <w:pPr>
      <w:spacing w:line="360" w:lineRule="auto"/>
      <w:ind w:left="2520" w:leftChars="1200" w:firstLine="720" w:firstLineChars="200"/>
    </w:pPr>
    <w:rPr>
      <w:rFonts w:ascii="Arial" w:hAnsi="宋体" w:eastAsia="仿宋" w:cs="Times New Roman"/>
      <w:kern w:val="0"/>
      <w:sz w:val="21"/>
      <w:szCs w:val="24"/>
    </w:rPr>
  </w:style>
  <w:style w:type="paragraph" w:styleId="14">
    <w:name w:val="Body Text First Indent"/>
    <w:basedOn w:val="1"/>
    <w:link w:val="121"/>
    <w:unhideWhenUsed/>
    <w:qFormat/>
    <w:uiPriority w:val="0"/>
    <w:pPr>
      <w:widowControl w:val="0"/>
      <w:ind w:firstLine="420" w:firstLineChars="100"/>
      <w:jc w:val="both"/>
    </w:pPr>
    <w:rPr>
      <w:rFonts w:ascii="Times New Roman" w:hAnsi="Times New Roman" w:eastAsia="宋体" w:cs="Times New Roman"/>
      <w:kern w:val="2"/>
      <w:sz w:val="21"/>
      <w:szCs w:val="21"/>
      <w:lang w:val="en-US" w:eastAsia="zh-CN" w:bidi="ar-SA"/>
    </w:rPr>
  </w:style>
  <w:style w:type="paragraph" w:styleId="15">
    <w:name w:val="Normal Indent"/>
    <w:basedOn w:val="1"/>
    <w:qFormat/>
    <w:uiPriority w:val="0"/>
    <w:pPr>
      <w:autoSpaceDE w:val="0"/>
      <w:autoSpaceDN w:val="0"/>
      <w:adjustRightInd w:val="0"/>
      <w:spacing w:line="312" w:lineRule="atLeast"/>
      <w:textAlignment w:val="baseline"/>
    </w:pPr>
    <w:rPr>
      <w:rFonts w:ascii="宋体" w:hAnsi="Tms Rmn"/>
      <w:kern w:val="0"/>
      <w:sz w:val="28"/>
    </w:rPr>
  </w:style>
  <w:style w:type="paragraph" w:styleId="16">
    <w:name w:val="caption"/>
    <w:basedOn w:val="1"/>
    <w:next w:val="1"/>
    <w:qFormat/>
    <w:uiPriority w:val="0"/>
    <w:pPr>
      <w:widowControl/>
      <w:spacing w:before="120" w:after="120" w:line="360" w:lineRule="auto"/>
      <w:ind w:left="709" w:firstLine="720" w:firstLineChars="200"/>
    </w:pPr>
    <w:rPr>
      <w:rFonts w:ascii="FuturaA Bk BT" w:hAnsi="FuturaA Bk BT" w:eastAsia="仿宋" w:cs="Times New Roman"/>
      <w:b/>
      <w:bCs/>
      <w:kern w:val="0"/>
      <w:sz w:val="20"/>
      <w:szCs w:val="20"/>
      <w:lang w:eastAsia="pt-BR"/>
    </w:rPr>
  </w:style>
  <w:style w:type="paragraph" w:styleId="17">
    <w:name w:val="Document Map"/>
    <w:basedOn w:val="1"/>
    <w:link w:val="152"/>
    <w:semiHidden/>
    <w:qFormat/>
    <w:uiPriority w:val="0"/>
    <w:pPr>
      <w:shd w:val="clear" w:color="auto" w:fill="000080"/>
      <w:spacing w:line="360" w:lineRule="auto"/>
      <w:ind w:firstLine="720" w:firstLineChars="200"/>
    </w:pPr>
    <w:rPr>
      <w:rFonts w:ascii="Times New Roman" w:hAnsi="Times New Roman" w:eastAsia="仿宋" w:cs="Times New Roman"/>
      <w:sz w:val="24"/>
      <w:szCs w:val="24"/>
    </w:rPr>
  </w:style>
  <w:style w:type="paragraph" w:styleId="18">
    <w:name w:val="toa heading"/>
    <w:basedOn w:val="1"/>
    <w:next w:val="1"/>
    <w:semiHidden/>
    <w:qFormat/>
    <w:uiPriority w:val="0"/>
    <w:pPr>
      <w:spacing w:before="120" w:line="360" w:lineRule="auto"/>
      <w:ind w:firstLine="720" w:firstLineChars="200"/>
    </w:pPr>
    <w:rPr>
      <w:rFonts w:ascii="Arial" w:hAnsi="Arial" w:eastAsia="仿宋" w:cs="Arial"/>
      <w:sz w:val="24"/>
      <w:szCs w:val="24"/>
    </w:rPr>
  </w:style>
  <w:style w:type="paragraph" w:styleId="19">
    <w:name w:val="Body Text 3"/>
    <w:basedOn w:val="1"/>
    <w:qFormat/>
    <w:uiPriority w:val="0"/>
    <w:rPr>
      <w:rFonts w:ascii="宋体"/>
      <w:sz w:val="24"/>
      <w:szCs w:val="20"/>
    </w:rPr>
  </w:style>
  <w:style w:type="paragraph" w:styleId="20">
    <w:name w:val="Body Text"/>
    <w:basedOn w:val="1"/>
    <w:link w:val="120"/>
    <w:qFormat/>
    <w:uiPriority w:val="0"/>
  </w:style>
  <w:style w:type="paragraph" w:styleId="21">
    <w:name w:val="Body Text Indent"/>
    <w:basedOn w:val="1"/>
    <w:link w:val="106"/>
    <w:qFormat/>
    <w:uiPriority w:val="0"/>
    <w:pPr>
      <w:spacing w:line="360" w:lineRule="auto"/>
      <w:ind w:left="1" w:firstLine="539"/>
    </w:pPr>
    <w:rPr>
      <w:rFonts w:ascii="宋体"/>
      <w:sz w:val="28"/>
    </w:rPr>
  </w:style>
  <w:style w:type="paragraph" w:styleId="22">
    <w:name w:val="toc 5"/>
    <w:basedOn w:val="1"/>
    <w:next w:val="1"/>
    <w:unhideWhenUsed/>
    <w:qFormat/>
    <w:uiPriority w:val="0"/>
    <w:pPr>
      <w:widowControl/>
      <w:autoSpaceDE w:val="0"/>
      <w:autoSpaceDN w:val="0"/>
      <w:adjustRightInd w:val="0"/>
      <w:spacing w:line="360" w:lineRule="auto"/>
      <w:ind w:left="34" w:leftChars="16" w:firstLine="720" w:firstLineChars="200"/>
    </w:pPr>
    <w:rPr>
      <w:rFonts w:ascii="Arial" w:hAnsi="宋体" w:eastAsia="仿宋" w:cs="Times New Roman"/>
      <w:kern w:val="0"/>
      <w:sz w:val="24"/>
      <w:szCs w:val="24"/>
    </w:rPr>
  </w:style>
  <w:style w:type="paragraph" w:styleId="23">
    <w:name w:val="toc 3"/>
    <w:basedOn w:val="1"/>
    <w:next w:val="1"/>
    <w:unhideWhenUsed/>
    <w:qFormat/>
    <w:uiPriority w:val="0"/>
    <w:pPr>
      <w:spacing w:line="360" w:lineRule="auto"/>
      <w:ind w:left="840" w:leftChars="400" w:firstLine="720" w:firstLineChars="200"/>
    </w:pPr>
    <w:rPr>
      <w:rFonts w:ascii="Arial" w:hAnsi="宋体" w:eastAsia="仿宋" w:cs="Times New Roman"/>
      <w:kern w:val="0"/>
      <w:sz w:val="21"/>
      <w:szCs w:val="24"/>
    </w:rPr>
  </w:style>
  <w:style w:type="paragraph" w:styleId="24">
    <w:name w:val="Plain Text"/>
    <w:basedOn w:val="1"/>
    <w:unhideWhenUsed/>
    <w:qFormat/>
    <w:uiPriority w:val="0"/>
    <w:rPr>
      <w:rFonts w:ascii="宋体" w:hAnsi="Courier New" w:eastAsia="宋体"/>
      <w:kern w:val="2"/>
      <w:sz w:val="21"/>
      <w:lang w:val="en-US" w:eastAsia="zh-CN" w:bidi="ar-SA"/>
    </w:rPr>
  </w:style>
  <w:style w:type="paragraph" w:styleId="25">
    <w:name w:val="toc 8"/>
    <w:basedOn w:val="1"/>
    <w:next w:val="1"/>
    <w:unhideWhenUsed/>
    <w:qFormat/>
    <w:uiPriority w:val="0"/>
    <w:pPr>
      <w:spacing w:line="360" w:lineRule="auto"/>
      <w:ind w:left="2940" w:leftChars="1400" w:firstLine="720" w:firstLineChars="200"/>
    </w:pPr>
    <w:rPr>
      <w:rFonts w:ascii="Arial" w:hAnsi="宋体" w:eastAsia="仿宋" w:cs="Times New Roman"/>
      <w:kern w:val="0"/>
      <w:sz w:val="21"/>
      <w:szCs w:val="24"/>
    </w:rPr>
  </w:style>
  <w:style w:type="paragraph" w:styleId="26">
    <w:name w:val="Date"/>
    <w:basedOn w:val="1"/>
    <w:next w:val="1"/>
    <w:link w:val="191"/>
    <w:qFormat/>
    <w:uiPriority w:val="0"/>
    <w:pPr>
      <w:spacing w:line="360" w:lineRule="auto"/>
      <w:ind w:left="100" w:leftChars="2500" w:firstLine="720" w:firstLineChars="200"/>
    </w:pPr>
    <w:rPr>
      <w:rFonts w:ascii="宋体" w:hAnsi="宋体" w:eastAsia="仿宋" w:cs="Times New Roman"/>
      <w:sz w:val="24"/>
      <w:szCs w:val="24"/>
    </w:rPr>
  </w:style>
  <w:style w:type="paragraph" w:styleId="27">
    <w:name w:val="Body Text Indent 2"/>
    <w:basedOn w:val="1"/>
    <w:link w:val="131"/>
    <w:qFormat/>
    <w:uiPriority w:val="0"/>
    <w:pPr>
      <w:spacing w:line="480" w:lineRule="auto"/>
      <w:ind w:left="1" w:firstLine="560" w:firstLineChars="200"/>
    </w:pPr>
    <w:rPr>
      <w:rFonts w:ascii="Times New Roman" w:hAnsi="Times New Roman" w:eastAsia="宋体" w:cs="Times New Roman"/>
      <w:sz w:val="28"/>
      <w:szCs w:val="20"/>
    </w:rPr>
  </w:style>
  <w:style w:type="paragraph" w:styleId="28">
    <w:name w:val="Balloon Text"/>
    <w:basedOn w:val="1"/>
    <w:link w:val="105"/>
    <w:semiHidden/>
    <w:qFormat/>
    <w:uiPriority w:val="0"/>
    <w:rPr>
      <w:rFonts w:ascii="Times New Roman" w:hAnsi="Times New Roman" w:eastAsia="宋体" w:cs="Times New Roman"/>
      <w:sz w:val="18"/>
      <w:szCs w:val="18"/>
    </w:rPr>
  </w:style>
  <w:style w:type="paragraph" w:styleId="29">
    <w:name w:val="footer"/>
    <w:basedOn w:val="1"/>
    <w:next w:val="1"/>
    <w:link w:val="194"/>
    <w:qFormat/>
    <w:uiPriority w:val="99"/>
    <w:pPr>
      <w:tabs>
        <w:tab w:val="center" w:pos="4153"/>
        <w:tab w:val="right" w:pos="8306"/>
      </w:tabs>
      <w:snapToGrid w:val="0"/>
      <w:jc w:val="left"/>
    </w:pPr>
    <w:rPr>
      <w:rFonts w:eastAsia="宋体"/>
      <w:kern w:val="2"/>
      <w:sz w:val="18"/>
      <w:lang w:val="en-US" w:eastAsia="zh-CN" w:bidi="ar-SA"/>
    </w:rPr>
  </w:style>
  <w:style w:type="paragraph" w:styleId="30">
    <w:name w:val="Body Text First Indent 2"/>
    <w:basedOn w:val="21"/>
    <w:unhideWhenUsed/>
    <w:uiPriority w:val="0"/>
    <w:pPr>
      <w:ind w:firstLine="420" w:firstLineChars="200"/>
    </w:pPr>
    <w:rPr>
      <w:sz w:val="22"/>
    </w:rPr>
  </w:style>
  <w:style w:type="paragraph" w:styleId="31">
    <w:name w:val="header"/>
    <w:basedOn w:val="1"/>
    <w:next w:val="1"/>
    <w:link w:val="196"/>
    <w:qFormat/>
    <w:uiPriority w:val="99"/>
    <w:pPr>
      <w:pBdr>
        <w:bottom w:val="single" w:color="auto" w:sz="6" w:space="1"/>
      </w:pBdr>
      <w:tabs>
        <w:tab w:val="center" w:pos="4153"/>
        <w:tab w:val="right" w:pos="8306"/>
      </w:tabs>
      <w:snapToGrid w:val="0"/>
      <w:jc w:val="center"/>
    </w:pPr>
    <w:rPr>
      <w:rFonts w:eastAsia="宋体"/>
      <w:kern w:val="2"/>
      <w:sz w:val="18"/>
      <w:lang w:val="en-US" w:eastAsia="zh-CN" w:bidi="ar-SA"/>
    </w:rPr>
  </w:style>
  <w:style w:type="paragraph" w:styleId="32">
    <w:name w:val="toc 1"/>
    <w:basedOn w:val="1"/>
    <w:next w:val="1"/>
    <w:unhideWhenUsed/>
    <w:qFormat/>
    <w:uiPriority w:val="39"/>
    <w:pPr>
      <w:spacing w:before="120" w:after="120"/>
      <w:jc w:val="left"/>
    </w:pPr>
    <w:rPr>
      <w:bCs/>
      <w:caps/>
      <w:szCs w:val="20"/>
    </w:rPr>
  </w:style>
  <w:style w:type="paragraph" w:styleId="33">
    <w:name w:val="toc 4"/>
    <w:basedOn w:val="1"/>
    <w:next w:val="1"/>
    <w:unhideWhenUsed/>
    <w:qFormat/>
    <w:uiPriority w:val="0"/>
    <w:pPr>
      <w:spacing w:line="360" w:lineRule="auto"/>
      <w:ind w:left="1260" w:leftChars="600" w:firstLine="720" w:firstLineChars="200"/>
    </w:pPr>
    <w:rPr>
      <w:rFonts w:ascii="Arial" w:hAnsi="宋体" w:eastAsia="仿宋" w:cs="Times New Roman"/>
      <w:kern w:val="0"/>
      <w:sz w:val="21"/>
      <w:szCs w:val="24"/>
    </w:rPr>
  </w:style>
  <w:style w:type="paragraph" w:styleId="34">
    <w:name w:val="index heading"/>
    <w:basedOn w:val="1"/>
    <w:next w:val="35"/>
    <w:unhideWhenUsed/>
    <w:uiPriority w:val="0"/>
    <w:pPr>
      <w:spacing w:line="360" w:lineRule="auto"/>
      <w:ind w:firstLine="720" w:firstLineChars="200"/>
    </w:pPr>
    <w:rPr>
      <w:rFonts w:ascii="Times New Roman" w:hAnsi="Arial" w:eastAsia="仿宋" w:cs="Times New Roman"/>
      <w:sz w:val="21"/>
      <w:szCs w:val="24"/>
    </w:rPr>
  </w:style>
  <w:style w:type="paragraph" w:styleId="35">
    <w:name w:val="index 1"/>
    <w:basedOn w:val="1"/>
    <w:next w:val="1"/>
    <w:unhideWhenUsed/>
    <w:qFormat/>
    <w:uiPriority w:val="0"/>
    <w:pPr>
      <w:spacing w:line="360" w:lineRule="auto"/>
      <w:ind w:firstLine="720" w:firstLineChars="200"/>
    </w:pPr>
    <w:rPr>
      <w:rFonts w:ascii="Arial" w:hAnsi="宋体" w:eastAsia="仿宋" w:cs="Times New Roman"/>
      <w:kern w:val="0"/>
      <w:sz w:val="21"/>
      <w:szCs w:val="24"/>
    </w:rPr>
  </w:style>
  <w:style w:type="paragraph" w:styleId="36">
    <w:name w:val="Subtitle"/>
    <w:basedOn w:val="1"/>
    <w:next w:val="1"/>
    <w:link w:val="195"/>
    <w:qFormat/>
    <w:uiPriority w:val="0"/>
    <w:pPr>
      <w:spacing w:before="240" w:after="60" w:line="312" w:lineRule="auto"/>
      <w:ind w:firstLine="720" w:firstLineChars="200"/>
      <w:jc w:val="center"/>
      <w:outlineLvl w:val="1"/>
    </w:pPr>
    <w:rPr>
      <w:rFonts w:ascii="Cambria" w:hAnsi="Cambria" w:eastAsia="仿宋" w:cs="Times New Roman"/>
      <w:b/>
      <w:bCs/>
      <w:kern w:val="28"/>
      <w:sz w:val="32"/>
      <w:szCs w:val="32"/>
    </w:rPr>
  </w:style>
  <w:style w:type="paragraph" w:styleId="37">
    <w:name w:val="toc 6"/>
    <w:basedOn w:val="1"/>
    <w:next w:val="1"/>
    <w:unhideWhenUsed/>
    <w:qFormat/>
    <w:uiPriority w:val="0"/>
    <w:pPr>
      <w:spacing w:line="360" w:lineRule="auto"/>
      <w:ind w:left="2100" w:leftChars="1000" w:firstLine="720" w:firstLineChars="200"/>
    </w:pPr>
    <w:rPr>
      <w:rFonts w:ascii="Times New Roman" w:hAnsi="Arial" w:eastAsia="仿宋" w:cs="Times New Roman"/>
      <w:sz w:val="21"/>
      <w:szCs w:val="24"/>
    </w:rPr>
  </w:style>
  <w:style w:type="paragraph" w:styleId="38">
    <w:name w:val="Body Text Indent 3"/>
    <w:basedOn w:val="1"/>
    <w:link w:val="104"/>
    <w:qFormat/>
    <w:uiPriority w:val="0"/>
    <w:pPr>
      <w:ind w:firstLine="540"/>
    </w:pPr>
    <w:rPr>
      <w:sz w:val="28"/>
    </w:rPr>
  </w:style>
  <w:style w:type="paragraph" w:styleId="39">
    <w:name w:val="toc 2"/>
    <w:basedOn w:val="1"/>
    <w:next w:val="1"/>
    <w:unhideWhenUsed/>
    <w:qFormat/>
    <w:uiPriority w:val="39"/>
    <w:pPr>
      <w:spacing w:line="360" w:lineRule="auto"/>
      <w:ind w:left="420" w:leftChars="200" w:firstLine="720" w:firstLineChars="200"/>
    </w:pPr>
    <w:rPr>
      <w:rFonts w:ascii="Times New Roman" w:hAnsi="Arial" w:eastAsia="仿宋" w:cs="Times New Roman"/>
      <w:sz w:val="21"/>
      <w:szCs w:val="24"/>
    </w:rPr>
  </w:style>
  <w:style w:type="paragraph" w:styleId="40">
    <w:name w:val="toc 9"/>
    <w:basedOn w:val="1"/>
    <w:next w:val="1"/>
    <w:unhideWhenUsed/>
    <w:qFormat/>
    <w:uiPriority w:val="0"/>
    <w:pPr>
      <w:spacing w:line="360" w:lineRule="auto"/>
      <w:ind w:left="3360" w:leftChars="1600" w:firstLine="720" w:firstLineChars="200"/>
    </w:pPr>
    <w:rPr>
      <w:rFonts w:ascii="Arial" w:hAnsi="宋体" w:eastAsia="仿宋" w:cs="Times New Roman"/>
      <w:kern w:val="0"/>
      <w:sz w:val="21"/>
      <w:szCs w:val="24"/>
    </w:rPr>
  </w:style>
  <w:style w:type="paragraph" w:styleId="41">
    <w:name w:val="Body Text 2"/>
    <w:basedOn w:val="1"/>
    <w:link w:val="101"/>
    <w:qFormat/>
    <w:uiPriority w:val="0"/>
    <w:pPr>
      <w:spacing w:after="120" w:line="480" w:lineRule="auto"/>
    </w:pPr>
  </w:style>
  <w:style w:type="paragraph" w:styleId="42">
    <w:name w:val="Normal (Web)"/>
    <w:basedOn w:val="1"/>
    <w:unhideWhenUsed/>
    <w:qFormat/>
    <w:uiPriority w:val="0"/>
    <w:pPr>
      <w:spacing w:before="0" w:beforeAutospacing="1" w:after="0" w:afterAutospacing="1"/>
      <w:ind w:left="0" w:right="0"/>
      <w:jc w:val="left"/>
    </w:pPr>
    <w:rPr>
      <w:kern w:val="0"/>
      <w:sz w:val="24"/>
      <w:lang w:val="en-US" w:eastAsia="zh-CN" w:bidi="ar"/>
    </w:rPr>
  </w:style>
  <w:style w:type="paragraph" w:styleId="43">
    <w:name w:val="Title"/>
    <w:basedOn w:val="1"/>
    <w:next w:val="1"/>
    <w:link w:val="100"/>
    <w:qFormat/>
    <w:uiPriority w:val="0"/>
    <w:pPr>
      <w:jc w:val="center"/>
      <w:outlineLvl w:val="0"/>
    </w:pPr>
    <w:rPr>
      <w:rFonts w:eastAsia="方正小标宋简体" w:cs="Arial"/>
      <w:bCs/>
      <w:sz w:val="36"/>
      <w:szCs w:val="36"/>
    </w:rPr>
  </w:style>
  <w:style w:type="paragraph" w:customStyle="1" w:styleId="45">
    <w:name w:val="_Style 31"/>
    <w:basedOn w:val="1"/>
    <w:link w:val="44"/>
    <w:qFormat/>
    <w:uiPriority w:val="0"/>
    <w:pPr>
      <w:numPr>
        <w:ilvl w:val="0"/>
        <w:numId w:val="3"/>
      </w:numPr>
      <w:tabs>
        <w:tab w:val="left" w:pos="425"/>
        <w:tab w:val="clear" w:pos="432"/>
      </w:tabs>
      <w:spacing w:line="360" w:lineRule="auto"/>
    </w:pPr>
    <w:rPr>
      <w:szCs w:val="24"/>
    </w:rPr>
  </w:style>
  <w:style w:type="character" w:styleId="46">
    <w:name w:val="Strong"/>
    <w:basedOn w:val="44"/>
    <w:qFormat/>
    <w:uiPriority w:val="0"/>
    <w:rPr>
      <w:rFonts w:ascii="Times New Roman" w:hAnsi="Times New Roman" w:eastAsia="宋体" w:cs="Times New Roman"/>
      <w:b/>
      <w:szCs w:val="20"/>
    </w:rPr>
  </w:style>
  <w:style w:type="character" w:styleId="47">
    <w:name w:val="page number"/>
    <w:basedOn w:val="44"/>
    <w:qFormat/>
    <w:uiPriority w:val="0"/>
  </w:style>
  <w:style w:type="character" w:styleId="48">
    <w:name w:val="FollowedHyperlink"/>
    <w:basedOn w:val="44"/>
    <w:qFormat/>
    <w:uiPriority w:val="0"/>
    <w:rPr>
      <w:rFonts w:ascii="Times New Roman" w:hAnsi="Times New Roman" w:eastAsia="宋体" w:cs="Times New Roman"/>
      <w:color w:val="800080"/>
      <w:u w:val="single"/>
    </w:rPr>
  </w:style>
  <w:style w:type="character" w:styleId="49">
    <w:name w:val="Emphasis"/>
    <w:basedOn w:val="44"/>
    <w:qFormat/>
    <w:uiPriority w:val="0"/>
    <w:rPr>
      <w:rFonts w:ascii="Times New Roman" w:hAnsi="Times New Roman" w:eastAsia="宋体" w:cs="Times New Roman"/>
      <w:szCs w:val="20"/>
    </w:rPr>
  </w:style>
  <w:style w:type="character" w:styleId="50">
    <w:name w:val="HTML Definition"/>
    <w:basedOn w:val="44"/>
    <w:unhideWhenUsed/>
    <w:qFormat/>
    <w:uiPriority w:val="0"/>
    <w:rPr>
      <w:rFonts w:ascii="Times New Roman" w:hAnsi="Times New Roman" w:eastAsia="宋体" w:cs="Times New Roman"/>
      <w:szCs w:val="20"/>
    </w:rPr>
  </w:style>
  <w:style w:type="character" w:styleId="51">
    <w:name w:val="HTML Typewriter"/>
    <w:basedOn w:val="44"/>
    <w:unhideWhenUsed/>
    <w:qFormat/>
    <w:uiPriority w:val="0"/>
    <w:rPr>
      <w:rFonts w:ascii="Courier New" w:hAnsi="Courier New" w:eastAsia="宋体" w:cs="Times New Roman"/>
      <w:sz w:val="24"/>
      <w:szCs w:val="24"/>
    </w:rPr>
  </w:style>
  <w:style w:type="character" w:styleId="52">
    <w:name w:val="HTML Acronym"/>
    <w:basedOn w:val="44"/>
    <w:unhideWhenUsed/>
    <w:qFormat/>
    <w:uiPriority w:val="0"/>
    <w:rPr>
      <w:rFonts w:ascii="Times New Roman" w:hAnsi="Times New Roman" w:eastAsia="宋体" w:cs="Times New Roman"/>
      <w:szCs w:val="20"/>
    </w:rPr>
  </w:style>
  <w:style w:type="character" w:styleId="53">
    <w:name w:val="HTML Variable"/>
    <w:basedOn w:val="44"/>
    <w:unhideWhenUsed/>
    <w:qFormat/>
    <w:uiPriority w:val="0"/>
    <w:rPr>
      <w:rFonts w:ascii="Times New Roman" w:hAnsi="Times New Roman" w:eastAsia="宋体" w:cs="Times New Roman"/>
      <w:szCs w:val="20"/>
    </w:rPr>
  </w:style>
  <w:style w:type="character" w:styleId="54">
    <w:name w:val="Hyperlink"/>
    <w:basedOn w:val="44"/>
    <w:qFormat/>
    <w:uiPriority w:val="99"/>
    <w:rPr>
      <w:color w:val="0000FF"/>
      <w:u w:val="single"/>
    </w:rPr>
  </w:style>
  <w:style w:type="character" w:styleId="55">
    <w:name w:val="HTML Code"/>
    <w:basedOn w:val="44"/>
    <w:unhideWhenUsed/>
    <w:qFormat/>
    <w:uiPriority w:val="0"/>
    <w:rPr>
      <w:rFonts w:hint="eastAsia" w:ascii="Arial" w:hAnsi="Arial" w:eastAsia="宋体" w:cs="Arial"/>
      <w:sz w:val="24"/>
      <w:szCs w:val="24"/>
    </w:rPr>
  </w:style>
  <w:style w:type="character" w:styleId="56">
    <w:name w:val="annotation reference"/>
    <w:unhideWhenUsed/>
    <w:qFormat/>
    <w:uiPriority w:val="0"/>
    <w:rPr>
      <w:rFonts w:ascii="Times New Roman" w:hAnsi="Times New Roman" w:eastAsia="宋体" w:cs="Times New Roman"/>
      <w:sz w:val="21"/>
      <w:szCs w:val="21"/>
    </w:rPr>
  </w:style>
  <w:style w:type="character" w:styleId="57">
    <w:name w:val="HTML Cite"/>
    <w:basedOn w:val="44"/>
    <w:unhideWhenUsed/>
    <w:qFormat/>
    <w:uiPriority w:val="0"/>
    <w:rPr>
      <w:rFonts w:ascii="Times New Roman" w:hAnsi="Times New Roman" w:eastAsia="宋体" w:cs="Times New Roman"/>
      <w:szCs w:val="20"/>
    </w:rPr>
  </w:style>
  <w:style w:type="character" w:styleId="58">
    <w:name w:val="HTML Keyboard"/>
    <w:basedOn w:val="44"/>
    <w:unhideWhenUsed/>
    <w:qFormat/>
    <w:uiPriority w:val="0"/>
    <w:rPr>
      <w:rFonts w:ascii="Courier New" w:hAnsi="Courier New" w:eastAsia="宋体" w:cs="Times New Roman"/>
      <w:sz w:val="24"/>
      <w:szCs w:val="24"/>
    </w:rPr>
  </w:style>
  <w:style w:type="character" w:styleId="59">
    <w:name w:val="HTML Sample"/>
    <w:basedOn w:val="44"/>
    <w:unhideWhenUsed/>
    <w:qFormat/>
    <w:uiPriority w:val="0"/>
    <w:rPr>
      <w:rFonts w:ascii="Courier New" w:hAnsi="Courier New" w:eastAsia="宋体" w:cs="Times New Roman"/>
      <w:sz w:val="24"/>
      <w:szCs w:val="24"/>
    </w:rPr>
  </w:style>
  <w:style w:type="table" w:styleId="61">
    <w:name w:val="Table Grid"/>
    <w:basedOn w:val="6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2">
    <w:name w:val="Char1"/>
    <w:basedOn w:val="1"/>
    <w:link w:val="44"/>
    <w:qFormat/>
    <w:uiPriority w:val="0"/>
    <w:rPr>
      <w:rFonts w:ascii="Times New Roman" w:hAnsi="Times New Roman" w:eastAsia="宋体" w:cs="Times New Roman"/>
      <w:szCs w:val="20"/>
    </w:rPr>
  </w:style>
  <w:style w:type="paragraph" w:customStyle="1" w:styleId="63">
    <w:name w:val="_x0001_"/>
    <w:basedOn w:val="64"/>
    <w:next w:val="65"/>
    <w:qFormat/>
    <w:uiPriority w:val="0"/>
    <w:pPr>
      <w:spacing w:before="0" w:after="0"/>
    </w:pPr>
    <w:rPr>
      <w:rFonts w:ascii="Times New Roman" w:hAnsi="Times New Roman" w:eastAsia="宋体" w:cs="Times New Roman"/>
    </w:rPr>
  </w:style>
  <w:style w:type="paragraph" w:customStyle="1" w:styleId="64">
    <w:name w:val="_Style 1"/>
    <w:basedOn w:val="1"/>
    <w:qFormat/>
    <w:uiPriority w:val="0"/>
    <w:pPr>
      <w:ind w:firstLine="420" w:firstLineChars="200"/>
    </w:pPr>
    <w:rPr>
      <w:rFonts w:ascii="Times New Roman" w:hAnsi="Times New Roman" w:eastAsia="宋体" w:cs="Times New Roman"/>
    </w:rPr>
  </w:style>
  <w:style w:type="paragraph" w:customStyle="1" w:styleId="65">
    <w:name w:val="_Style 3"/>
    <w:basedOn w:val="1"/>
    <w:next w:val="1"/>
    <w:qFormat/>
    <w:uiPriority w:val="0"/>
    <w:pPr>
      <w:ind w:firstLine="420" w:firstLineChars="200"/>
    </w:pPr>
    <w:rPr>
      <w:rFonts w:ascii="Calibri" w:hAnsi="Calibri"/>
      <w:szCs w:val="22"/>
    </w:rPr>
  </w:style>
  <w:style w:type="paragraph" w:customStyle="1" w:styleId="66">
    <w:name w:val=" Char"/>
    <w:qFormat/>
    <w:uiPriority w:val="0"/>
    <w:pPr>
      <w:widowControl w:val="0"/>
      <w:autoSpaceDE w:val="0"/>
      <w:autoSpaceDN w:val="0"/>
      <w:jc w:val="both"/>
    </w:pPr>
    <w:rPr>
      <w:rFonts w:ascii="Tahoma" w:hAnsi="Tahoma" w:eastAsia="宋体" w:cs="Times New Roman"/>
      <w:kern w:val="2"/>
      <w:sz w:val="24"/>
      <w:szCs w:val="22"/>
      <w:lang w:val="en-US" w:eastAsia="zh-CN" w:bidi="ar-SA"/>
    </w:rPr>
  </w:style>
  <w:style w:type="paragraph" w:customStyle="1" w:styleId="67">
    <w:name w:val="Body Text 21"/>
    <w:basedOn w:val="1"/>
    <w:qFormat/>
    <w:uiPriority w:val="0"/>
    <w:pPr>
      <w:tabs>
        <w:tab w:val="left" w:pos="-720"/>
        <w:tab w:val="left" w:pos="0"/>
      </w:tabs>
      <w:suppressAutoHyphens/>
      <w:autoSpaceDE w:val="0"/>
      <w:autoSpaceDN w:val="0"/>
    </w:pPr>
    <w:rPr>
      <w:i/>
      <w:iCs/>
      <w:spacing w:val="-3"/>
      <w:kern w:val="0"/>
      <w:sz w:val="16"/>
      <w:szCs w:val="16"/>
      <w:lang w:val="en-GB"/>
    </w:rPr>
  </w:style>
  <w:style w:type="character" w:customStyle="1" w:styleId="68">
    <w:name w:val="objwebdatawindowcontrol31e5"/>
    <w:basedOn w:val="44"/>
    <w:qFormat/>
    <w:uiPriority w:val="0"/>
    <w:rPr>
      <w:rFonts w:ascii="Times New Roman" w:hAnsi="Times New Roman" w:eastAsia="宋体" w:cs="Times New Roman"/>
    </w:rPr>
  </w:style>
  <w:style w:type="paragraph" w:customStyle="1" w:styleId="69">
    <w:name w:val=" Char Char Char Char1 Char Char Char"/>
    <w:basedOn w:val="1"/>
    <w:qFormat/>
    <w:uiPriority w:val="0"/>
    <w:pPr>
      <w:adjustRightInd w:val="0"/>
      <w:spacing w:line="360" w:lineRule="atLeast"/>
      <w:textAlignment w:val="baseline"/>
    </w:pPr>
    <w:rPr>
      <w:rFonts w:ascii="Times New Roman" w:hAnsi="Times New Roman" w:eastAsia="宋体" w:cs="Times New Roman"/>
    </w:rPr>
  </w:style>
  <w:style w:type="paragraph" w:customStyle="1" w:styleId="70">
    <w:name w:val="Table Paragraph"/>
    <w:basedOn w:val="1"/>
    <w:qFormat/>
    <w:uiPriority w:val="0"/>
    <w:rPr>
      <w:sz w:val="24"/>
    </w:rPr>
  </w:style>
  <w:style w:type="paragraph" w:customStyle="1" w:styleId="71">
    <w:name w:val="_Style 2"/>
    <w:basedOn w:val="1"/>
    <w:next w:val="1"/>
    <w:qFormat/>
    <w:uiPriority w:val="0"/>
    <w:pPr>
      <w:ind w:firstLine="420" w:firstLineChars="200"/>
    </w:pPr>
  </w:style>
  <w:style w:type="paragraph" w:customStyle="1" w:styleId="72">
    <w:name w:val="Char"/>
    <w:basedOn w:val="1"/>
    <w:next w:val="1"/>
    <w:qFormat/>
    <w:uiPriority w:val="0"/>
    <w:rPr>
      <w:rFonts w:ascii="Times New Roman" w:hAnsi="Times New Roman" w:eastAsia="宋体" w:cs="Times New Roman"/>
    </w:rPr>
  </w:style>
  <w:style w:type="paragraph" w:customStyle="1" w:styleId="73">
    <w:name w:val="前言标题"/>
    <w:basedOn w:val="1"/>
    <w:qFormat/>
    <w:uiPriority w:val="0"/>
    <w:pPr>
      <w:wordWrap w:val="0"/>
      <w:adjustRightInd w:val="0"/>
      <w:spacing w:line="360" w:lineRule="auto"/>
      <w:ind w:left="200" w:leftChars="200"/>
      <w:jc w:val="center"/>
      <w:textAlignment w:val="baseline"/>
    </w:pPr>
    <w:rPr>
      <w:rFonts w:ascii="Arial" w:hAnsi="Arial" w:eastAsia="黑体"/>
      <w:kern w:val="0"/>
      <w:szCs w:val="32"/>
    </w:rPr>
  </w:style>
  <w:style w:type="paragraph" w:customStyle="1" w:styleId="74">
    <w:name w:val="Style 5"/>
    <w:basedOn w:val="1"/>
    <w:qFormat/>
    <w:uiPriority w:val="0"/>
    <w:pPr>
      <w:autoSpaceDE w:val="0"/>
      <w:autoSpaceDN w:val="0"/>
      <w:spacing w:line="516" w:lineRule="exact"/>
      <w:ind w:left="432" w:hanging="396"/>
      <w:jc w:val="left"/>
    </w:pPr>
    <w:rPr>
      <w:rFonts w:ascii="Times New Roman" w:hAnsi="Times New Roman" w:eastAsia="宋体" w:cs="Arial"/>
      <w:b/>
      <w:kern w:val="0"/>
      <w:sz w:val="20"/>
      <w:szCs w:val="24"/>
    </w:rPr>
  </w:style>
  <w:style w:type="paragraph" w:customStyle="1" w:styleId="75">
    <w:name w:val=" Char1"/>
    <w:basedOn w:val="1"/>
    <w:qFormat/>
    <w:uiPriority w:val="0"/>
    <w:rPr>
      <w:rFonts w:ascii="仿宋_GB2312" w:hAnsi="Times New Roman" w:eastAsia="仿宋_GB2312" w:cs="Times New Roman"/>
      <w:b/>
      <w:sz w:val="32"/>
      <w:szCs w:val="32"/>
    </w:rPr>
  </w:style>
  <w:style w:type="paragraph" w:customStyle="1" w:styleId="76">
    <w:name w:val="Char Char Char2 Char"/>
    <w:basedOn w:val="1"/>
    <w:qFormat/>
    <w:uiPriority w:val="0"/>
    <w:rPr>
      <w:rFonts w:ascii="黑体" w:hAnsi="Tahoma" w:eastAsia="黑体" w:cs="Times New Roman"/>
      <w:color w:val="000000"/>
      <w:sz w:val="24"/>
      <w:szCs w:val="20"/>
    </w:rPr>
  </w:style>
  <w:style w:type="paragraph" w:customStyle="1" w:styleId="77">
    <w:name w:val=" Char Char Zchn Zchn"/>
    <w:basedOn w:val="1"/>
    <w:semiHidden/>
    <w:qFormat/>
    <w:uiPriority w:val="0"/>
    <w:pPr>
      <w:keepNext/>
      <w:keepLines/>
      <w:widowControl/>
      <w:spacing w:line="360" w:lineRule="auto"/>
      <w:ind w:left="420" w:firstLine="200" w:firstLineChars="200"/>
    </w:pPr>
    <w:rPr>
      <w:rFonts w:ascii="Tahoma" w:hAnsi="Tahoma" w:eastAsia="宋体" w:cs="Times New Roman"/>
      <w:sz w:val="24"/>
      <w:szCs w:val="20"/>
    </w:rPr>
  </w:style>
  <w:style w:type="paragraph" w:customStyle="1" w:styleId="78">
    <w:name w:val="_Style 15"/>
    <w:basedOn w:val="1"/>
    <w:next w:val="27"/>
    <w:qFormat/>
    <w:uiPriority w:val="0"/>
    <w:pPr>
      <w:spacing w:line="480" w:lineRule="exact"/>
      <w:ind w:firstLine="420" w:firstLineChars="200"/>
    </w:pPr>
    <w:rPr>
      <w:rFonts w:ascii="宋体" w:hAnsi="宋体" w:eastAsia="仿宋" w:cs="Times New Roman"/>
      <w:sz w:val="24"/>
      <w:szCs w:val="24"/>
    </w:rPr>
  </w:style>
  <w:style w:type="paragraph" w:customStyle="1" w:styleId="79">
    <w:name w:val="Body-11"/>
    <w:basedOn w:val="1"/>
    <w:qFormat/>
    <w:uiPriority w:val="0"/>
    <w:pPr>
      <w:widowControl/>
      <w:spacing w:after="120" w:line="360" w:lineRule="auto"/>
      <w:ind w:firstLine="720" w:firstLineChars="200"/>
    </w:pPr>
    <w:rPr>
      <w:rFonts w:ascii="Arial" w:hAnsi="Arial" w:eastAsia="仿宋" w:cs="Times New Roman"/>
      <w:kern w:val="0"/>
      <w:sz w:val="22"/>
      <w:szCs w:val="20"/>
      <w:lang w:val="de-DE" w:eastAsia="en-US"/>
    </w:rPr>
  </w:style>
  <w:style w:type="paragraph" w:customStyle="1" w:styleId="80">
    <w:name w:val="Tabelle"/>
    <w:basedOn w:val="1"/>
    <w:qFormat/>
    <w:uiPriority w:val="0"/>
    <w:pPr>
      <w:widowControl/>
      <w:spacing w:before="20" w:after="20" w:line="360" w:lineRule="auto"/>
      <w:ind w:firstLine="720" w:firstLineChars="200"/>
      <w:jc w:val="left"/>
    </w:pPr>
    <w:rPr>
      <w:rFonts w:ascii="Arial" w:hAnsi="Arial" w:eastAsia="仿宋" w:cs="Times New Roman"/>
      <w:kern w:val="0"/>
      <w:sz w:val="18"/>
      <w:szCs w:val="20"/>
      <w:lang w:val="de-DE" w:eastAsia="en-US"/>
    </w:rPr>
  </w:style>
  <w:style w:type="paragraph" w:customStyle="1" w:styleId="81">
    <w:name w:val="TabelleDaten"/>
    <w:basedOn w:val="80"/>
    <w:qFormat/>
    <w:uiPriority w:val="0"/>
    <w:pPr>
      <w:jc w:val="right"/>
    </w:pPr>
    <w:rPr>
      <w:lang w:eastAsia="de-DE"/>
    </w:rPr>
  </w:style>
  <w:style w:type="paragraph" w:customStyle="1" w:styleId="82">
    <w:name w:val="Grafik"/>
    <w:basedOn w:val="1"/>
    <w:qFormat/>
    <w:uiPriority w:val="0"/>
    <w:pPr>
      <w:widowControl/>
      <w:spacing w:before="240" w:line="360" w:lineRule="auto"/>
      <w:ind w:firstLine="720" w:firstLineChars="200"/>
      <w:jc w:val="center"/>
    </w:pPr>
    <w:rPr>
      <w:rFonts w:ascii="Arial" w:hAnsi="Arial" w:eastAsia="仿宋" w:cs="Times New Roman"/>
      <w:kern w:val="0"/>
      <w:sz w:val="20"/>
      <w:szCs w:val="20"/>
      <w:lang w:val="de-DE" w:eastAsia="en-US"/>
    </w:rPr>
  </w:style>
  <w:style w:type="paragraph" w:customStyle="1" w:styleId="83">
    <w:name w:val="knd-10"/>
    <w:basedOn w:val="1"/>
    <w:qFormat/>
    <w:uiPriority w:val="0"/>
    <w:pPr>
      <w:widowControl/>
      <w:tabs>
        <w:tab w:val="left" w:pos="360"/>
      </w:tabs>
      <w:adjustRightInd w:val="0"/>
      <w:spacing w:after="60" w:line="360" w:lineRule="auto"/>
      <w:ind w:left="340" w:hanging="340" w:firstLineChars="200"/>
      <w:jc w:val="left"/>
      <w:textAlignment w:val="baseline"/>
    </w:pPr>
    <w:rPr>
      <w:rFonts w:ascii="Arial" w:hAnsi="Arial" w:eastAsia="仿宋" w:cs="Times New Roman"/>
      <w:kern w:val="0"/>
      <w:sz w:val="22"/>
      <w:szCs w:val="20"/>
      <w:lang w:val="de-DE"/>
    </w:rPr>
  </w:style>
  <w:style w:type="paragraph" w:customStyle="1" w:styleId="84">
    <w:name w:val="Überschrift"/>
    <w:basedOn w:val="1"/>
    <w:next w:val="1"/>
    <w:qFormat/>
    <w:uiPriority w:val="0"/>
    <w:pPr>
      <w:pageBreakBefore/>
      <w:widowControl/>
      <w:spacing w:after="240" w:line="360" w:lineRule="auto"/>
      <w:ind w:firstLine="720" w:firstLineChars="200"/>
      <w:jc w:val="left"/>
    </w:pPr>
    <w:rPr>
      <w:rFonts w:ascii="Arial" w:hAnsi="Arial" w:eastAsia="仿宋" w:cs="Times New Roman"/>
      <w:b/>
      <w:kern w:val="0"/>
      <w:sz w:val="24"/>
      <w:szCs w:val="20"/>
      <w:lang w:val="de-DE" w:eastAsia="en-US"/>
    </w:rPr>
  </w:style>
  <w:style w:type="paragraph" w:customStyle="1" w:styleId="85">
    <w:name w:val="TEXTE"/>
    <w:basedOn w:val="1"/>
    <w:qFormat/>
    <w:uiPriority w:val="0"/>
    <w:pPr>
      <w:spacing w:line="360" w:lineRule="auto"/>
      <w:ind w:firstLine="720" w:firstLineChars="200"/>
      <w:jc w:val="left"/>
    </w:pPr>
    <w:rPr>
      <w:rFonts w:ascii="Arial" w:hAnsi="Arial" w:eastAsia="仿宋" w:cs="Times New Roman"/>
      <w:kern w:val="0"/>
      <w:sz w:val="24"/>
      <w:szCs w:val="20"/>
      <w:lang w:val="fr-FR"/>
    </w:rPr>
  </w:style>
  <w:style w:type="paragraph" w:customStyle="1" w:styleId="86">
    <w:name w:val="样式 (西文) Arial (中文) 仿宋_GB2312 小四 加粗 段前: 15.6 磅 图案: 15% (自动设置..."/>
    <w:basedOn w:val="18"/>
    <w:qFormat/>
    <w:uiPriority w:val="0"/>
    <w:pPr>
      <w:spacing w:before="312" w:line="400" w:lineRule="exact"/>
    </w:pPr>
    <w:rPr>
      <w:rFonts w:eastAsia="仿宋_GB2312" w:cs="宋体"/>
      <w:b/>
      <w:bCs/>
      <w:szCs w:val="20"/>
      <w:shd w:val="pct10" w:color="auto" w:fill="FFFFFF"/>
    </w:rPr>
  </w:style>
  <w:style w:type="paragraph" w:customStyle="1" w:styleId="87">
    <w:name w:val="样式1"/>
    <w:basedOn w:val="86"/>
    <w:qFormat/>
    <w:uiPriority w:val="0"/>
    <w:rPr>
      <w:rFonts w:eastAsia="Arial"/>
    </w:rPr>
  </w:style>
  <w:style w:type="character" w:customStyle="1" w:styleId="88">
    <w:name w:val="副标题 字符"/>
    <w:link w:val="36"/>
    <w:qFormat/>
    <w:uiPriority w:val="0"/>
    <w:rPr>
      <w:rFonts w:ascii="Cambria" w:hAnsi="Cambria" w:eastAsia="宋体" w:cs="Times New Roman"/>
      <w:b/>
      <w:bCs/>
      <w:kern w:val="28"/>
      <w:sz w:val="32"/>
      <w:szCs w:val="32"/>
    </w:rPr>
  </w:style>
  <w:style w:type="character" w:customStyle="1" w:styleId="89">
    <w:name w:val="页脚 字符"/>
    <w:link w:val="29"/>
    <w:qFormat/>
    <w:uiPriority w:val="0"/>
    <w:rPr>
      <w:rFonts w:ascii="Times New Roman" w:hAnsi="Times New Roman" w:eastAsia="宋体" w:cs="Times New Roman"/>
      <w:kern w:val="2"/>
      <w:sz w:val="18"/>
      <w:lang w:val="en-US" w:eastAsia="zh-CN" w:bidi="ar-SA"/>
    </w:rPr>
  </w:style>
  <w:style w:type="character" w:customStyle="1" w:styleId="90">
    <w:name w:val="页眉 字符"/>
    <w:link w:val="31"/>
    <w:qFormat/>
    <w:uiPriority w:val="0"/>
    <w:rPr>
      <w:rFonts w:ascii="Times New Roman" w:hAnsi="Times New Roman" w:eastAsia="宋体" w:cs="Times New Roman"/>
      <w:kern w:val="2"/>
      <w:sz w:val="18"/>
      <w:lang w:val="en-US" w:eastAsia="zh-CN" w:bidi="ar-SA"/>
    </w:rPr>
  </w:style>
  <w:style w:type="character" w:customStyle="1" w:styleId="91">
    <w:name w:val="标题 1 字符"/>
    <w:basedOn w:val="44"/>
    <w:link w:val="2"/>
    <w:qFormat/>
    <w:uiPriority w:val="0"/>
    <w:rPr>
      <w:rFonts w:ascii="Times New Roman" w:hAnsi="Times New Roman" w:eastAsia="宋体" w:cs="Times New Roman"/>
      <w:b/>
      <w:bCs/>
      <w:kern w:val="44"/>
      <w:sz w:val="44"/>
      <w:szCs w:val="44"/>
    </w:rPr>
  </w:style>
  <w:style w:type="character" w:customStyle="1" w:styleId="92">
    <w:name w:val="标题 2 字符"/>
    <w:basedOn w:val="44"/>
    <w:link w:val="3"/>
    <w:qFormat/>
    <w:uiPriority w:val="0"/>
    <w:rPr>
      <w:rFonts w:ascii="宋体" w:hAnsi="宋体" w:eastAsia="宋体" w:cs="Times New Roman"/>
      <w:b/>
      <w:sz w:val="28"/>
      <w:szCs w:val="20"/>
    </w:rPr>
  </w:style>
  <w:style w:type="character" w:customStyle="1" w:styleId="93">
    <w:name w:val="标题 3 字符"/>
    <w:basedOn w:val="44"/>
    <w:link w:val="4"/>
    <w:qFormat/>
    <w:uiPriority w:val="0"/>
    <w:rPr>
      <w:rFonts w:ascii="黑体" w:hAnsi="Times New Roman" w:eastAsia="黑体" w:cs="Times New Roman"/>
      <w:sz w:val="28"/>
      <w:szCs w:val="20"/>
    </w:rPr>
  </w:style>
  <w:style w:type="character" w:customStyle="1" w:styleId="94">
    <w:name w:val="标题 4 字符"/>
    <w:basedOn w:val="44"/>
    <w:link w:val="5"/>
    <w:qFormat/>
    <w:uiPriority w:val="0"/>
    <w:rPr>
      <w:rFonts w:ascii="Arial" w:hAnsi="Arial" w:eastAsia="宋体" w:cs="Times New Roman"/>
      <w:bCs/>
      <w:sz w:val="24"/>
      <w:szCs w:val="24"/>
    </w:rPr>
  </w:style>
  <w:style w:type="character" w:customStyle="1" w:styleId="95">
    <w:name w:val="标题 5 字符"/>
    <w:basedOn w:val="44"/>
    <w:link w:val="6"/>
    <w:qFormat/>
    <w:uiPriority w:val="0"/>
    <w:rPr>
      <w:rFonts w:ascii="Times New Roman" w:hAnsi="Times New Roman" w:eastAsia="宋体" w:cs="Times New Roman"/>
      <w:kern w:val="0"/>
      <w:szCs w:val="20"/>
      <w:lang w:eastAsia="de-DE"/>
    </w:rPr>
  </w:style>
  <w:style w:type="character" w:customStyle="1" w:styleId="96">
    <w:name w:val="标题 6 字符"/>
    <w:basedOn w:val="44"/>
    <w:link w:val="7"/>
    <w:qFormat/>
    <w:uiPriority w:val="0"/>
    <w:rPr>
      <w:rFonts w:ascii="Times New Roman" w:hAnsi="Times New Roman" w:eastAsia="宋体" w:cs="Times New Roman"/>
      <w:szCs w:val="20"/>
    </w:rPr>
  </w:style>
  <w:style w:type="character" w:customStyle="1" w:styleId="97">
    <w:name w:val="标题 7 字符"/>
    <w:basedOn w:val="44"/>
    <w:link w:val="8"/>
    <w:qFormat/>
    <w:uiPriority w:val="0"/>
    <w:rPr>
      <w:rFonts w:ascii="Times New Roman" w:hAnsi="Times New Roman" w:eastAsia="宋体" w:cs="Times New Roman"/>
      <w:szCs w:val="20"/>
    </w:rPr>
  </w:style>
  <w:style w:type="character" w:customStyle="1" w:styleId="98">
    <w:name w:val="标题 8 字符"/>
    <w:basedOn w:val="44"/>
    <w:link w:val="9"/>
    <w:qFormat/>
    <w:uiPriority w:val="0"/>
    <w:rPr>
      <w:rFonts w:ascii="Times New Roman" w:hAnsi="Times New Roman" w:eastAsia="宋体" w:cs="Times New Roman"/>
      <w:szCs w:val="20"/>
    </w:rPr>
  </w:style>
  <w:style w:type="character" w:customStyle="1" w:styleId="99">
    <w:name w:val="标题 9 字符"/>
    <w:basedOn w:val="44"/>
    <w:link w:val="10"/>
    <w:qFormat/>
    <w:uiPriority w:val="0"/>
    <w:rPr>
      <w:rFonts w:ascii="Times New Roman" w:hAnsi="Times New Roman" w:eastAsia="宋体" w:cs="Times New Roman"/>
      <w:szCs w:val="20"/>
    </w:rPr>
  </w:style>
  <w:style w:type="character" w:customStyle="1" w:styleId="100">
    <w:name w:val="标题 字符"/>
    <w:basedOn w:val="44"/>
    <w:link w:val="43"/>
    <w:qFormat/>
    <w:uiPriority w:val="0"/>
    <w:rPr>
      <w:rFonts w:ascii="Times New Roman" w:hAnsi="Times New Roman" w:eastAsia="方正小标宋简体" w:cs="Arial"/>
      <w:bCs/>
      <w:sz w:val="36"/>
      <w:szCs w:val="36"/>
    </w:rPr>
  </w:style>
  <w:style w:type="character" w:customStyle="1" w:styleId="101">
    <w:name w:val="正文文本 2 字符"/>
    <w:basedOn w:val="44"/>
    <w:link w:val="41"/>
    <w:qFormat/>
    <w:uiPriority w:val="0"/>
    <w:rPr>
      <w:rFonts w:ascii="Times New Roman" w:hAnsi="Times New Roman" w:eastAsia="宋体" w:cs="Times New Roman"/>
      <w:szCs w:val="20"/>
    </w:rPr>
  </w:style>
  <w:style w:type="character" w:customStyle="1" w:styleId="102">
    <w:name w:val="日期 字符"/>
    <w:basedOn w:val="44"/>
    <w:link w:val="26"/>
    <w:qFormat/>
    <w:uiPriority w:val="0"/>
    <w:rPr>
      <w:rFonts w:ascii="宋体" w:hAnsi="宋体" w:eastAsia="宋体" w:cs="Times New Roman"/>
      <w:sz w:val="24"/>
      <w:szCs w:val="20"/>
    </w:rPr>
  </w:style>
  <w:style w:type="paragraph" w:customStyle="1" w:styleId="103">
    <w:name w:val="投标正文"/>
    <w:basedOn w:val="1"/>
    <w:qFormat/>
    <w:uiPriority w:val="0"/>
    <w:pPr>
      <w:spacing w:line="360" w:lineRule="auto"/>
      <w:ind w:firstLine="720" w:firstLineChars="200"/>
    </w:pPr>
    <w:rPr>
      <w:rFonts w:ascii="Times New Roman" w:hAnsi="Arial" w:eastAsia="仿宋" w:cs="Times New Roman"/>
      <w:color w:val="000000"/>
      <w:sz w:val="21"/>
      <w:szCs w:val="20"/>
    </w:rPr>
  </w:style>
  <w:style w:type="character" w:customStyle="1" w:styleId="104">
    <w:name w:val="正文文本缩进 3 字符"/>
    <w:basedOn w:val="44"/>
    <w:link w:val="38"/>
    <w:qFormat/>
    <w:uiPriority w:val="0"/>
    <w:rPr>
      <w:rFonts w:ascii="Times New Roman" w:hAnsi="Times New Roman" w:eastAsia="宋体" w:cs="Times New Roman"/>
      <w:sz w:val="28"/>
      <w:szCs w:val="20"/>
    </w:rPr>
  </w:style>
  <w:style w:type="character" w:customStyle="1" w:styleId="105">
    <w:name w:val="批注框文本 字符"/>
    <w:basedOn w:val="44"/>
    <w:link w:val="28"/>
    <w:qFormat/>
    <w:uiPriority w:val="99"/>
    <w:rPr>
      <w:rFonts w:ascii="Times New Roman" w:hAnsi="Times New Roman" w:eastAsia="宋体" w:cs="Times New Roman"/>
      <w:sz w:val="18"/>
      <w:szCs w:val="18"/>
    </w:rPr>
  </w:style>
  <w:style w:type="character" w:customStyle="1" w:styleId="106">
    <w:name w:val="正文文本缩进 字符"/>
    <w:basedOn w:val="44"/>
    <w:link w:val="21"/>
    <w:qFormat/>
    <w:uiPriority w:val="0"/>
    <w:rPr>
      <w:rFonts w:ascii="宋体" w:hAnsi="Times New Roman" w:eastAsia="宋体" w:cs="Times New Roman"/>
      <w:sz w:val="28"/>
      <w:szCs w:val="20"/>
    </w:rPr>
  </w:style>
  <w:style w:type="character" w:customStyle="1" w:styleId="107">
    <w:name w:val="正文文本 Char"/>
    <w:basedOn w:val="44"/>
    <w:qFormat/>
    <w:uiPriority w:val="99"/>
    <w:rPr>
      <w:rFonts w:ascii="Times New Roman" w:hAnsi="Arial" w:eastAsia="宋体" w:cs="Times New Roman"/>
      <w:kern w:val="2"/>
      <w:sz w:val="24"/>
      <w:szCs w:val="18"/>
      <w:lang w:val="zh-CN" w:eastAsia="zh-CN"/>
    </w:rPr>
  </w:style>
  <w:style w:type="paragraph" w:customStyle="1" w:styleId="108">
    <w:name w:val="列表框2"/>
    <w:basedOn w:val="1"/>
    <w:qFormat/>
    <w:uiPriority w:val="0"/>
    <w:pPr>
      <w:numPr>
        <w:ilvl w:val="0"/>
        <w:numId w:val="4"/>
      </w:numPr>
      <w:tabs>
        <w:tab w:val="left" w:pos="540"/>
        <w:tab w:val="left" w:pos="1260"/>
      </w:tabs>
      <w:adjustRightInd w:val="0"/>
      <w:snapToGrid w:val="0"/>
      <w:spacing w:after="62" w:afterLines="20" w:line="360" w:lineRule="auto"/>
      <w:ind w:left="257" w:leftChars="257" w:right="-11" w:firstLine="720" w:firstLineChars="200"/>
      <w:jc w:val="left"/>
    </w:pPr>
    <w:rPr>
      <w:rFonts w:ascii="Arial" w:hAnsi="宋体" w:eastAsia="仿宋" w:cs="宋体"/>
      <w:spacing w:val="10"/>
      <w:kern w:val="0"/>
      <w:sz w:val="24"/>
      <w:szCs w:val="24"/>
    </w:rPr>
  </w:style>
  <w:style w:type="paragraph" w:customStyle="1" w:styleId="109">
    <w:name w:val="Char Char Char Char Char"/>
    <w:basedOn w:val="1"/>
    <w:qFormat/>
    <w:uiPriority w:val="0"/>
    <w:pPr>
      <w:tabs>
        <w:tab w:val="left" w:pos="720"/>
        <w:tab w:val="left" w:pos="1080"/>
      </w:tabs>
      <w:spacing w:line="360" w:lineRule="auto"/>
      <w:ind w:left="1078" w:leftChars="343" w:right="210" w:rightChars="100" w:hanging="358" w:hangingChars="149"/>
    </w:pPr>
    <w:rPr>
      <w:rFonts w:ascii="Times New Roman" w:hAnsi="Arial" w:eastAsia="仿宋" w:cs="Times New Roman"/>
      <w:sz w:val="24"/>
      <w:szCs w:val="20"/>
    </w:rPr>
  </w:style>
  <w:style w:type="paragraph" w:customStyle="1" w:styleId="110">
    <w:name w:val="表格"/>
    <w:basedOn w:val="1"/>
    <w:next w:val="1"/>
    <w:qFormat/>
    <w:uiPriority w:val="0"/>
    <w:pPr>
      <w:spacing w:line="360" w:lineRule="auto"/>
      <w:ind w:firstLine="720" w:firstLineChars="200"/>
      <w:jc w:val="center"/>
    </w:pPr>
    <w:rPr>
      <w:rFonts w:ascii="Arial" w:hAnsi="Arial" w:eastAsia="仿宋" w:cs="Times New Roman"/>
      <w:sz w:val="24"/>
      <w:szCs w:val="24"/>
    </w:rPr>
  </w:style>
  <w:style w:type="character" w:customStyle="1" w:styleId="111">
    <w:name w:val="hps"/>
    <w:qFormat/>
    <w:uiPriority w:val="0"/>
    <w:rPr>
      <w:rFonts w:ascii="Times New Roman" w:hAnsi="Times New Roman" w:eastAsia="宋体" w:cs="Times New Roman"/>
    </w:rPr>
  </w:style>
  <w:style w:type="paragraph" w:customStyle="1" w:styleId="112">
    <w:name w:val="缺省文本"/>
    <w:basedOn w:val="1"/>
    <w:qFormat/>
    <w:uiPriority w:val="0"/>
    <w:pPr>
      <w:autoSpaceDE w:val="0"/>
      <w:autoSpaceDN w:val="0"/>
      <w:adjustRightInd w:val="0"/>
      <w:spacing w:line="360" w:lineRule="auto"/>
      <w:ind w:firstLine="720" w:firstLineChars="200"/>
      <w:jc w:val="left"/>
    </w:pPr>
    <w:rPr>
      <w:rFonts w:ascii="Arial" w:hAnsi="宋体" w:eastAsia="仿宋" w:cs="Times New Roman"/>
      <w:kern w:val="0"/>
      <w:sz w:val="24"/>
      <w:szCs w:val="24"/>
    </w:rPr>
  </w:style>
  <w:style w:type="paragraph" w:customStyle="1" w:styleId="113">
    <w:name w:val="Default Text"/>
    <w:basedOn w:val="1"/>
    <w:qFormat/>
    <w:uiPriority w:val="0"/>
    <w:pPr>
      <w:autoSpaceDE w:val="0"/>
      <w:autoSpaceDN w:val="0"/>
      <w:adjustRightInd w:val="0"/>
      <w:spacing w:line="360" w:lineRule="auto"/>
      <w:ind w:firstLine="720" w:firstLineChars="200"/>
      <w:jc w:val="left"/>
    </w:pPr>
    <w:rPr>
      <w:rFonts w:ascii="Arial" w:hAnsi="宋体" w:eastAsia="仿宋" w:cs="Times New Roman"/>
      <w:kern w:val="0"/>
      <w:sz w:val="24"/>
      <w:szCs w:val="24"/>
    </w:rPr>
  </w:style>
  <w:style w:type="paragraph" w:customStyle="1" w:styleId="114">
    <w:name w:val="关键词"/>
    <w:basedOn w:val="1"/>
    <w:qFormat/>
    <w:uiPriority w:val="0"/>
    <w:pPr>
      <w:tabs>
        <w:tab w:val="left" w:pos="1080"/>
      </w:tabs>
      <w:autoSpaceDE w:val="0"/>
      <w:autoSpaceDN w:val="0"/>
      <w:adjustRightInd w:val="0"/>
      <w:spacing w:line="360" w:lineRule="exact"/>
      <w:ind w:left="1080" w:hanging="1080" w:firstLineChars="200"/>
    </w:pPr>
    <w:rPr>
      <w:rFonts w:ascii="黑体" w:hAnsi="宋体" w:eastAsia="黑体" w:cs="Times New Roman"/>
      <w:kern w:val="0"/>
      <w:sz w:val="24"/>
      <w:szCs w:val="24"/>
    </w:rPr>
  </w:style>
  <w:style w:type="paragraph" w:customStyle="1" w:styleId="115">
    <w:name w:val="表头"/>
    <w:basedOn w:val="1"/>
    <w:qFormat/>
    <w:uiPriority w:val="0"/>
    <w:pPr>
      <w:keepLines/>
      <w:autoSpaceDE w:val="0"/>
      <w:autoSpaceDN w:val="0"/>
      <w:adjustRightInd w:val="0"/>
      <w:spacing w:before="120" w:after="120" w:line="360" w:lineRule="auto"/>
      <w:ind w:firstLine="720" w:firstLineChars="200"/>
      <w:jc w:val="center"/>
    </w:pPr>
    <w:rPr>
      <w:rFonts w:ascii="Arial" w:hAnsi="Arial" w:eastAsia="仿宋" w:cs="Arial"/>
      <w:kern w:val="0"/>
      <w:sz w:val="18"/>
      <w:szCs w:val="18"/>
    </w:rPr>
  </w:style>
  <w:style w:type="paragraph" w:customStyle="1" w:styleId="116">
    <w:name w:val="表内文字"/>
    <w:basedOn w:val="1"/>
    <w:qFormat/>
    <w:uiPriority w:val="0"/>
    <w:pPr>
      <w:keepLines/>
      <w:tabs>
        <w:tab w:val="decimal" w:pos="0"/>
      </w:tabs>
      <w:autoSpaceDE w:val="0"/>
      <w:autoSpaceDN w:val="0"/>
      <w:adjustRightInd w:val="0"/>
      <w:spacing w:before="60" w:after="60" w:line="360" w:lineRule="auto"/>
      <w:ind w:firstLine="720" w:firstLineChars="200"/>
      <w:jc w:val="left"/>
    </w:pPr>
    <w:rPr>
      <w:rFonts w:ascii="Arial" w:hAnsi="宋体" w:eastAsia="仿宋" w:cs="Times New Roman"/>
      <w:kern w:val="0"/>
      <w:sz w:val="18"/>
      <w:szCs w:val="18"/>
    </w:rPr>
  </w:style>
  <w:style w:type="paragraph" w:customStyle="1" w:styleId="117">
    <w:name w:val="正文文字1"/>
    <w:basedOn w:val="1"/>
    <w:qFormat/>
    <w:uiPriority w:val="0"/>
    <w:pPr>
      <w:autoSpaceDE w:val="0"/>
      <w:autoSpaceDN w:val="0"/>
      <w:adjustRightInd w:val="0"/>
      <w:spacing w:before="80" w:after="80" w:line="360" w:lineRule="auto"/>
      <w:ind w:left="1134" w:firstLine="720" w:firstLineChars="200"/>
      <w:jc w:val="left"/>
    </w:pPr>
    <w:rPr>
      <w:rFonts w:ascii="Arial" w:hAnsi="宋体" w:eastAsia="仿宋" w:cs="Times New Roman"/>
      <w:kern w:val="0"/>
      <w:sz w:val="21"/>
      <w:szCs w:val="18"/>
      <w:lang w:val="zh-CN"/>
    </w:rPr>
  </w:style>
  <w:style w:type="paragraph" w:customStyle="1" w:styleId="118">
    <w:name w:val="表项"/>
    <w:basedOn w:val="1"/>
    <w:qFormat/>
    <w:uiPriority w:val="0"/>
    <w:pPr>
      <w:tabs>
        <w:tab w:val="center" w:pos="4153"/>
        <w:tab w:val="right" w:pos="8306"/>
      </w:tabs>
      <w:autoSpaceDE w:val="0"/>
      <w:autoSpaceDN w:val="0"/>
      <w:adjustRightInd w:val="0"/>
      <w:spacing w:line="300" w:lineRule="auto"/>
      <w:ind w:firstLine="720" w:firstLineChars="200"/>
      <w:jc w:val="center"/>
    </w:pPr>
    <w:rPr>
      <w:rFonts w:ascii="Arial" w:hAnsi="宋体" w:eastAsia="仿宋" w:cs="Times New Roman"/>
      <w:kern w:val="0"/>
      <w:sz w:val="18"/>
      <w:szCs w:val="18"/>
    </w:rPr>
  </w:style>
  <w:style w:type="paragraph" w:customStyle="1" w:styleId="119">
    <w:name w:val="表身"/>
    <w:basedOn w:val="1"/>
    <w:qFormat/>
    <w:uiPriority w:val="0"/>
    <w:pPr>
      <w:tabs>
        <w:tab w:val="center" w:pos="4153"/>
        <w:tab w:val="right" w:pos="8306"/>
      </w:tabs>
      <w:autoSpaceDE w:val="0"/>
      <w:autoSpaceDN w:val="0"/>
      <w:adjustRightInd w:val="0"/>
      <w:spacing w:line="300" w:lineRule="auto"/>
      <w:ind w:firstLine="720" w:firstLineChars="200"/>
      <w:jc w:val="left"/>
    </w:pPr>
    <w:rPr>
      <w:rFonts w:ascii="Arial" w:hAnsi="宋体" w:eastAsia="仿宋" w:cs="Times New Roman"/>
      <w:kern w:val="0"/>
      <w:sz w:val="18"/>
      <w:szCs w:val="18"/>
    </w:rPr>
  </w:style>
  <w:style w:type="character" w:customStyle="1" w:styleId="120">
    <w:name w:val="正文文本 字符"/>
    <w:basedOn w:val="44"/>
    <w:link w:val="20"/>
    <w:qFormat/>
    <w:uiPriority w:val="99"/>
    <w:rPr>
      <w:rFonts w:ascii="Times New Roman" w:hAnsi="Times New Roman" w:eastAsia="宋体" w:cs="Times New Roman"/>
      <w:szCs w:val="20"/>
    </w:rPr>
  </w:style>
  <w:style w:type="character" w:customStyle="1" w:styleId="121">
    <w:name w:val="正文文本首行缩进 字符"/>
    <w:basedOn w:val="120"/>
    <w:link w:val="14"/>
    <w:qFormat/>
    <w:uiPriority w:val="0"/>
    <w:rPr>
      <w:rFonts w:ascii="Times New Roman" w:hAnsi="Times New Roman" w:eastAsia="宋体" w:cs="Times New Roman"/>
      <w:kern w:val="2"/>
      <w:sz w:val="21"/>
      <w:szCs w:val="21"/>
      <w:lang w:val="en-US" w:eastAsia="zh-CN" w:bidi="ar-SA"/>
    </w:rPr>
  </w:style>
  <w:style w:type="paragraph" w:customStyle="1" w:styleId="122">
    <w:name w:val="表样式"/>
    <w:basedOn w:val="1"/>
    <w:qFormat/>
    <w:uiPriority w:val="0"/>
    <w:pPr>
      <w:autoSpaceDE w:val="0"/>
      <w:autoSpaceDN w:val="0"/>
      <w:adjustRightInd w:val="0"/>
      <w:spacing w:before="90" w:after="90" w:line="360" w:lineRule="auto"/>
      <w:ind w:firstLine="720" w:firstLineChars="200"/>
      <w:jc w:val="left"/>
    </w:pPr>
    <w:rPr>
      <w:rFonts w:ascii="Arial" w:hAnsi="Arial" w:eastAsia="仿宋" w:cs="Arial"/>
      <w:kern w:val="0"/>
      <w:sz w:val="18"/>
      <w:szCs w:val="18"/>
    </w:rPr>
  </w:style>
  <w:style w:type="paragraph" w:customStyle="1" w:styleId="123">
    <w:name w:val="项目符号"/>
    <w:basedOn w:val="1"/>
    <w:qFormat/>
    <w:uiPriority w:val="0"/>
    <w:pPr>
      <w:autoSpaceDE w:val="0"/>
      <w:autoSpaceDN w:val="0"/>
      <w:adjustRightInd w:val="0"/>
      <w:spacing w:line="360" w:lineRule="auto"/>
      <w:ind w:left="1446" w:hanging="312" w:firstLineChars="200"/>
      <w:jc w:val="left"/>
    </w:pPr>
    <w:rPr>
      <w:rFonts w:ascii="Arial" w:hAnsi="宋体" w:eastAsia="仿宋" w:cs="Times New Roman"/>
      <w:kern w:val="0"/>
      <w:sz w:val="22"/>
      <w:szCs w:val="22"/>
    </w:rPr>
  </w:style>
  <w:style w:type="paragraph" w:customStyle="1" w:styleId="124">
    <w:name w:val="表号"/>
    <w:basedOn w:val="1"/>
    <w:qFormat/>
    <w:uiPriority w:val="0"/>
    <w:pPr>
      <w:keepLines/>
      <w:autoSpaceDE w:val="0"/>
      <w:autoSpaceDN w:val="0"/>
      <w:adjustRightInd w:val="0"/>
      <w:spacing w:line="360" w:lineRule="auto"/>
      <w:ind w:left="360" w:hanging="360" w:firstLineChars="200"/>
      <w:jc w:val="center"/>
    </w:pPr>
    <w:rPr>
      <w:rFonts w:ascii="Arial" w:hAnsi="宋体" w:eastAsia="仿宋" w:cs="Times New Roman"/>
      <w:kern w:val="0"/>
      <w:sz w:val="21"/>
      <w:szCs w:val="18"/>
    </w:rPr>
  </w:style>
  <w:style w:type="paragraph" w:customStyle="1" w:styleId="125">
    <w:name w:val="TAH"/>
    <w:basedOn w:val="1"/>
    <w:qFormat/>
    <w:uiPriority w:val="0"/>
    <w:pPr>
      <w:keepLines/>
      <w:autoSpaceDE w:val="0"/>
      <w:autoSpaceDN w:val="0"/>
      <w:adjustRightInd w:val="0"/>
      <w:spacing w:line="360" w:lineRule="auto"/>
      <w:ind w:firstLine="720" w:firstLineChars="200"/>
      <w:jc w:val="center"/>
    </w:pPr>
    <w:rPr>
      <w:rFonts w:ascii="Arial" w:hAnsi="Arial" w:eastAsia="仿宋" w:cs="Arial"/>
      <w:b/>
      <w:bCs/>
      <w:kern w:val="0"/>
      <w:sz w:val="18"/>
      <w:szCs w:val="18"/>
      <w:lang w:val="en-GB"/>
    </w:rPr>
  </w:style>
  <w:style w:type="paragraph" w:customStyle="1" w:styleId="126">
    <w:name w:val="TAC"/>
    <w:basedOn w:val="1"/>
    <w:qFormat/>
    <w:uiPriority w:val="0"/>
    <w:pPr>
      <w:keepLines/>
      <w:autoSpaceDE w:val="0"/>
      <w:autoSpaceDN w:val="0"/>
      <w:adjustRightInd w:val="0"/>
      <w:spacing w:line="360" w:lineRule="auto"/>
      <w:ind w:firstLine="720" w:firstLineChars="200"/>
      <w:jc w:val="center"/>
    </w:pPr>
    <w:rPr>
      <w:rFonts w:ascii="Arial" w:hAnsi="Arial" w:eastAsia="仿宋" w:cs="Arial"/>
      <w:kern w:val="0"/>
      <w:sz w:val="18"/>
      <w:szCs w:val="18"/>
      <w:lang w:val="en-GB"/>
    </w:rPr>
  </w:style>
  <w:style w:type="paragraph" w:customStyle="1" w:styleId="127">
    <w:name w:val="表头样式"/>
    <w:basedOn w:val="1"/>
    <w:qFormat/>
    <w:uiPriority w:val="0"/>
    <w:pPr>
      <w:autoSpaceDE w:val="0"/>
      <w:autoSpaceDN w:val="0"/>
      <w:adjustRightInd w:val="0"/>
      <w:spacing w:line="360" w:lineRule="auto"/>
      <w:ind w:firstLine="720" w:firstLineChars="200"/>
      <w:jc w:val="center"/>
    </w:pPr>
    <w:rPr>
      <w:rFonts w:ascii="Arial" w:hAnsi="宋体" w:eastAsia="仿宋" w:cs="Times New Roman"/>
      <w:b/>
      <w:bCs/>
      <w:kern w:val="0"/>
      <w:sz w:val="21"/>
      <w:szCs w:val="18"/>
    </w:rPr>
  </w:style>
  <w:style w:type="paragraph" w:customStyle="1" w:styleId="128">
    <w:name w:val="表格文本"/>
    <w:basedOn w:val="1"/>
    <w:qFormat/>
    <w:uiPriority w:val="0"/>
    <w:pPr>
      <w:tabs>
        <w:tab w:val="decimal" w:pos="0"/>
      </w:tabs>
      <w:autoSpaceDE w:val="0"/>
      <w:autoSpaceDN w:val="0"/>
      <w:adjustRightInd w:val="0"/>
      <w:spacing w:line="360" w:lineRule="auto"/>
      <w:ind w:firstLine="720" w:firstLineChars="200"/>
      <w:jc w:val="left"/>
    </w:pPr>
    <w:rPr>
      <w:rFonts w:ascii="Arial" w:hAnsi="宋体" w:eastAsia="仿宋" w:cs="Times New Roman"/>
      <w:kern w:val="0"/>
      <w:sz w:val="21"/>
      <w:szCs w:val="18"/>
    </w:rPr>
  </w:style>
  <w:style w:type="paragraph" w:customStyle="1" w:styleId="129">
    <w:name w:val="图号"/>
    <w:basedOn w:val="1"/>
    <w:qFormat/>
    <w:uiPriority w:val="0"/>
    <w:pPr>
      <w:autoSpaceDE w:val="0"/>
      <w:autoSpaceDN w:val="0"/>
      <w:adjustRightInd w:val="0"/>
      <w:spacing w:before="105" w:line="360" w:lineRule="auto"/>
      <w:ind w:firstLine="720" w:firstLineChars="200"/>
      <w:jc w:val="center"/>
    </w:pPr>
    <w:rPr>
      <w:rFonts w:ascii="Arial" w:hAnsi="宋体" w:eastAsia="仿宋" w:cs="Times New Roman"/>
      <w:kern w:val="0"/>
      <w:sz w:val="21"/>
      <w:szCs w:val="18"/>
    </w:rPr>
  </w:style>
  <w:style w:type="paragraph" w:customStyle="1" w:styleId="130">
    <w:name w:val="正文 1"/>
    <w:basedOn w:val="1"/>
    <w:qFormat/>
    <w:uiPriority w:val="0"/>
    <w:pPr>
      <w:autoSpaceDE w:val="0"/>
      <w:autoSpaceDN w:val="0"/>
      <w:adjustRightInd w:val="0"/>
      <w:spacing w:before="80" w:after="80" w:line="360" w:lineRule="auto"/>
      <w:ind w:left="1417" w:firstLine="720" w:firstLineChars="200"/>
    </w:pPr>
    <w:rPr>
      <w:rFonts w:ascii="Arial" w:hAnsi="宋体" w:eastAsia="仿宋" w:cs="Times New Roman"/>
      <w:kern w:val="0"/>
      <w:sz w:val="21"/>
      <w:szCs w:val="18"/>
    </w:rPr>
  </w:style>
  <w:style w:type="character" w:customStyle="1" w:styleId="131">
    <w:name w:val="正文文本缩进 2 字符"/>
    <w:basedOn w:val="44"/>
    <w:link w:val="27"/>
    <w:qFormat/>
    <w:uiPriority w:val="0"/>
    <w:rPr>
      <w:rFonts w:ascii="Times New Roman" w:hAnsi="Times New Roman" w:eastAsia="宋体" w:cs="Times New Roman"/>
      <w:sz w:val="28"/>
      <w:szCs w:val="20"/>
    </w:rPr>
  </w:style>
  <w:style w:type="paragraph" w:customStyle="1" w:styleId="132">
    <w:name w:val="图题"/>
    <w:basedOn w:val="1"/>
    <w:qFormat/>
    <w:uiPriority w:val="0"/>
    <w:pPr>
      <w:autoSpaceDE w:val="0"/>
      <w:autoSpaceDN w:val="0"/>
      <w:adjustRightInd w:val="0"/>
      <w:spacing w:before="80" w:after="40" w:line="360" w:lineRule="auto"/>
      <w:ind w:left="1417" w:firstLine="720" w:firstLineChars="200"/>
      <w:jc w:val="center"/>
    </w:pPr>
    <w:rPr>
      <w:rFonts w:ascii="Arial" w:hAnsi="Arial" w:eastAsia="仿宋" w:cs="Arial"/>
      <w:kern w:val="0"/>
      <w:sz w:val="18"/>
      <w:szCs w:val="18"/>
    </w:rPr>
  </w:style>
  <w:style w:type="paragraph" w:customStyle="1" w:styleId="133">
    <w:name w:val="摘要"/>
    <w:basedOn w:val="1"/>
    <w:qFormat/>
    <w:uiPriority w:val="0"/>
    <w:pPr>
      <w:tabs>
        <w:tab w:val="left" w:pos="907"/>
      </w:tabs>
      <w:autoSpaceDE w:val="0"/>
      <w:autoSpaceDN w:val="0"/>
      <w:adjustRightInd w:val="0"/>
      <w:spacing w:after="105" w:line="360" w:lineRule="auto"/>
      <w:ind w:left="907" w:hanging="907" w:firstLineChars="200"/>
    </w:pPr>
    <w:rPr>
      <w:rFonts w:ascii="Arial" w:hAnsi="宋体" w:eastAsia="仿宋" w:cs="Times New Roman"/>
      <w:kern w:val="0"/>
      <w:sz w:val="21"/>
      <w:szCs w:val="18"/>
    </w:rPr>
  </w:style>
  <w:style w:type="paragraph" w:customStyle="1" w:styleId="134">
    <w:name w:val="段落2"/>
    <w:basedOn w:val="1"/>
    <w:qFormat/>
    <w:uiPriority w:val="0"/>
    <w:pPr>
      <w:autoSpaceDE w:val="0"/>
      <w:autoSpaceDN w:val="0"/>
      <w:adjustRightInd w:val="0"/>
      <w:spacing w:before="105" w:line="360" w:lineRule="auto"/>
      <w:ind w:left="360" w:firstLine="720" w:firstLineChars="200"/>
    </w:pPr>
    <w:rPr>
      <w:rFonts w:ascii="Arial" w:hAnsi="宋体" w:eastAsia="仿宋" w:cs="Times New Roman"/>
      <w:kern w:val="0"/>
      <w:sz w:val="21"/>
      <w:szCs w:val="18"/>
    </w:rPr>
  </w:style>
  <w:style w:type="paragraph" w:customStyle="1" w:styleId="135">
    <w:name w:val="正文表标题"/>
    <w:next w:val="1"/>
    <w:qFormat/>
    <w:uiPriority w:val="0"/>
    <w:pPr>
      <w:numPr>
        <w:ilvl w:val="0"/>
        <w:numId w:val="5"/>
      </w:numPr>
      <w:spacing w:line="440" w:lineRule="exact"/>
      <w:jc w:val="center"/>
    </w:pPr>
    <w:rPr>
      <w:rFonts w:ascii="黑体" w:hAnsi="Times New Roman" w:eastAsia="黑体" w:cs="Times New Roman"/>
      <w:sz w:val="21"/>
      <w:lang w:val="en-US" w:eastAsia="zh-CN" w:bidi="ar-SA"/>
    </w:rPr>
  </w:style>
  <w:style w:type="paragraph" w:customStyle="1" w:styleId="136">
    <w:name w:val="??¨¬??¨¬??¡ì?¨¨??¨¬o?????¡ì?¨¨?"/>
    <w:basedOn w:val="1"/>
    <w:qFormat/>
    <w:uiPriority w:val="0"/>
    <w:pPr>
      <w:widowControl/>
      <w:overflowPunct w:val="0"/>
      <w:autoSpaceDE w:val="0"/>
      <w:autoSpaceDN w:val="0"/>
      <w:adjustRightInd w:val="0"/>
      <w:spacing w:line="360" w:lineRule="auto"/>
      <w:ind w:firstLine="720" w:firstLineChars="200"/>
      <w:jc w:val="left"/>
      <w:textAlignment w:val="baseline"/>
    </w:pPr>
    <w:rPr>
      <w:rFonts w:ascii="Times New Roman" w:hAnsi="Arial" w:eastAsia="仿宋" w:cs="Times New Roman"/>
      <w:kern w:val="0"/>
      <w:sz w:val="24"/>
      <w:szCs w:val="20"/>
    </w:rPr>
  </w:style>
  <w:style w:type="paragraph" w:customStyle="1" w:styleId="137">
    <w:name w:val="表格文本 Char Char"/>
    <w:basedOn w:val="1"/>
    <w:qFormat/>
    <w:uiPriority w:val="0"/>
    <w:pPr>
      <w:tabs>
        <w:tab w:val="decimal" w:pos="0"/>
      </w:tabs>
      <w:autoSpaceDE w:val="0"/>
      <w:autoSpaceDN w:val="0"/>
      <w:adjustRightInd w:val="0"/>
      <w:spacing w:line="360" w:lineRule="auto"/>
      <w:ind w:firstLine="720" w:firstLineChars="200"/>
      <w:jc w:val="left"/>
    </w:pPr>
    <w:rPr>
      <w:rFonts w:ascii="Arial" w:hAnsi="Arial" w:eastAsia="仿宋" w:cs="Times New Roman"/>
      <w:kern w:val="0"/>
      <w:sz w:val="21"/>
      <w:szCs w:val="18"/>
    </w:rPr>
  </w:style>
  <w:style w:type="paragraph" w:customStyle="1" w:styleId="138">
    <w:name w:val="表头样式 Char Char"/>
    <w:basedOn w:val="1"/>
    <w:qFormat/>
    <w:uiPriority w:val="0"/>
    <w:pPr>
      <w:autoSpaceDE w:val="0"/>
      <w:autoSpaceDN w:val="0"/>
      <w:adjustRightInd w:val="0"/>
      <w:spacing w:line="360" w:lineRule="auto"/>
      <w:ind w:firstLine="720" w:firstLineChars="200"/>
      <w:jc w:val="center"/>
    </w:pPr>
    <w:rPr>
      <w:rFonts w:ascii="Times New Roman" w:hAnsi="Arial" w:eastAsia="仿宋" w:cs="Times New Roman"/>
      <w:b/>
      <w:bCs/>
      <w:kern w:val="0"/>
      <w:sz w:val="21"/>
      <w:szCs w:val="18"/>
    </w:rPr>
  </w:style>
  <w:style w:type="paragraph" w:customStyle="1" w:styleId="139">
    <w:name w:val="前言、引言标题"/>
    <w:next w:val="1"/>
    <w:qFormat/>
    <w:uiPriority w:val="0"/>
    <w:pPr>
      <w:numPr>
        <w:ilvl w:val="0"/>
        <w:numId w:val="6"/>
      </w:numPr>
      <w:shd w:val="clear" w:color="FFFFFF" w:fill="FFFFFF"/>
      <w:spacing w:before="640" w:after="560" w:line="440" w:lineRule="exact"/>
      <w:ind w:left="425" w:hanging="425"/>
      <w:jc w:val="center"/>
      <w:outlineLvl w:val="0"/>
    </w:pPr>
    <w:rPr>
      <w:rFonts w:ascii="黑体" w:hAnsi="Times New Roman" w:eastAsia="黑体" w:cs="Times New Roman"/>
      <w:sz w:val="32"/>
      <w:lang w:val="en-US" w:eastAsia="zh-CN" w:bidi="ar-SA"/>
    </w:rPr>
  </w:style>
  <w:style w:type="paragraph" w:customStyle="1" w:styleId="140">
    <w:name w:val="章标题"/>
    <w:next w:val="141"/>
    <w:qFormat/>
    <w:uiPriority w:val="0"/>
    <w:pPr>
      <w:numPr>
        <w:ilvl w:val="1"/>
        <w:numId w:val="6"/>
      </w:numPr>
      <w:spacing w:beforeLines="50" w:afterLines="50" w:line="440" w:lineRule="exact"/>
      <w:ind w:left="425" w:hanging="425"/>
      <w:jc w:val="both"/>
      <w:outlineLvl w:val="1"/>
    </w:pPr>
    <w:rPr>
      <w:rFonts w:ascii="黑体" w:hAnsi="Times New Roman" w:eastAsia="黑体" w:cs="Times New Roman"/>
      <w:sz w:val="21"/>
      <w:lang w:val="en-US" w:eastAsia="zh-CN" w:bidi="ar-SA"/>
    </w:rPr>
  </w:style>
  <w:style w:type="paragraph" w:customStyle="1" w:styleId="141">
    <w:name w:val="段"/>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142">
    <w:name w:val="一级条标题"/>
    <w:basedOn w:val="140"/>
    <w:next w:val="141"/>
    <w:qFormat/>
    <w:uiPriority w:val="0"/>
    <w:pPr>
      <w:numPr>
        <w:ilvl w:val="0"/>
        <w:numId w:val="0"/>
      </w:numPr>
      <w:spacing w:beforeLines="0" w:afterLines="0"/>
      <w:outlineLvl w:val="2"/>
    </w:pPr>
  </w:style>
  <w:style w:type="paragraph" w:customStyle="1" w:styleId="143">
    <w:name w:val="二级条标题"/>
    <w:basedOn w:val="142"/>
    <w:next w:val="141"/>
    <w:qFormat/>
    <w:uiPriority w:val="0"/>
    <w:pPr>
      <w:numPr>
        <w:ilvl w:val="3"/>
        <w:numId w:val="6"/>
      </w:numPr>
      <w:tabs>
        <w:tab w:val="left" w:pos="360"/>
      </w:tabs>
      <w:ind w:left="360" w:hanging="360"/>
      <w:outlineLvl w:val="3"/>
    </w:pPr>
  </w:style>
  <w:style w:type="paragraph" w:customStyle="1" w:styleId="144">
    <w:name w:val="三级条标题"/>
    <w:basedOn w:val="143"/>
    <w:next w:val="141"/>
    <w:qFormat/>
    <w:uiPriority w:val="0"/>
    <w:pPr>
      <w:numPr>
        <w:ilvl w:val="4"/>
      </w:numPr>
      <w:ind w:left="360" w:hanging="360"/>
      <w:outlineLvl w:val="4"/>
    </w:pPr>
  </w:style>
  <w:style w:type="paragraph" w:customStyle="1" w:styleId="145">
    <w:name w:val="四级条标题"/>
    <w:basedOn w:val="144"/>
    <w:next w:val="141"/>
    <w:qFormat/>
    <w:uiPriority w:val="0"/>
    <w:pPr>
      <w:numPr>
        <w:ilvl w:val="0"/>
        <w:numId w:val="0"/>
      </w:numPr>
      <w:ind w:left="4320" w:hanging="720"/>
      <w:outlineLvl w:val="5"/>
    </w:pPr>
  </w:style>
  <w:style w:type="paragraph" w:customStyle="1" w:styleId="146">
    <w:name w:val="五级条标题"/>
    <w:basedOn w:val="145"/>
    <w:next w:val="141"/>
    <w:qFormat/>
    <w:uiPriority w:val="0"/>
    <w:pPr>
      <w:tabs>
        <w:tab w:val="left" w:pos="2940"/>
      </w:tabs>
      <w:ind w:left="2940" w:hanging="420"/>
      <w:outlineLvl w:val="6"/>
    </w:pPr>
  </w:style>
  <w:style w:type="paragraph" w:customStyle="1" w:styleId="147">
    <w:name w:val="附录标识"/>
    <w:basedOn w:val="139"/>
    <w:qFormat/>
    <w:uiPriority w:val="0"/>
    <w:pPr>
      <w:numPr>
        <w:numId w:val="0"/>
      </w:numPr>
      <w:tabs>
        <w:tab w:val="left" w:pos="6405"/>
      </w:tabs>
      <w:spacing w:after="200"/>
      <w:ind w:left="720" w:hanging="720"/>
    </w:pPr>
    <w:rPr>
      <w:sz w:val="21"/>
    </w:rPr>
  </w:style>
  <w:style w:type="paragraph" w:customStyle="1" w:styleId="148">
    <w:name w:val="表号去除自动编号"/>
    <w:basedOn w:val="1"/>
    <w:qFormat/>
    <w:uiPriority w:val="0"/>
    <w:pPr>
      <w:keepLines/>
      <w:autoSpaceDE w:val="0"/>
      <w:autoSpaceDN w:val="0"/>
      <w:adjustRightInd w:val="0"/>
      <w:spacing w:line="360" w:lineRule="auto"/>
      <w:ind w:firstLine="720" w:firstLineChars="200"/>
      <w:jc w:val="center"/>
    </w:pPr>
    <w:rPr>
      <w:rFonts w:ascii="Arial" w:hAnsi="Arial" w:eastAsia="仿宋" w:cs="Times New Roman"/>
      <w:kern w:val="0"/>
      <w:sz w:val="21"/>
      <w:szCs w:val="18"/>
    </w:rPr>
  </w:style>
  <w:style w:type="paragraph" w:customStyle="1" w:styleId="149">
    <w:name w:val="表题"/>
    <w:qFormat/>
    <w:uiPriority w:val="0"/>
    <w:pPr>
      <w:keepNext/>
      <w:keepLines/>
      <w:adjustRightInd w:val="0"/>
      <w:snapToGrid w:val="0"/>
      <w:spacing w:before="120" w:line="360" w:lineRule="auto"/>
      <w:ind w:left="1418" w:firstLine="198"/>
      <w:jc w:val="center"/>
    </w:pPr>
    <w:rPr>
      <w:rFonts w:ascii="Arial" w:hAnsi="Arial" w:eastAsia="黑体" w:cs="Times New Roman"/>
      <w:sz w:val="18"/>
      <w:lang w:val="en-US" w:eastAsia="zh-CN" w:bidi="ar-SA"/>
    </w:rPr>
  </w:style>
  <w:style w:type="paragraph" w:customStyle="1" w:styleId="150">
    <w:name w:val="表身（中）"/>
    <w:basedOn w:val="1"/>
    <w:qFormat/>
    <w:uiPriority w:val="0"/>
    <w:pPr>
      <w:widowControl/>
      <w:adjustRightInd w:val="0"/>
      <w:snapToGrid w:val="0"/>
      <w:spacing w:line="300" w:lineRule="auto"/>
      <w:ind w:firstLine="720" w:firstLineChars="200"/>
      <w:jc w:val="center"/>
      <w:textAlignment w:val="center"/>
    </w:pPr>
    <w:rPr>
      <w:rFonts w:ascii="Times New Roman" w:hAnsi="Arial" w:eastAsia="仿宋" w:cs="Times New Roman"/>
      <w:kern w:val="0"/>
      <w:sz w:val="18"/>
      <w:szCs w:val="20"/>
    </w:rPr>
  </w:style>
  <w:style w:type="paragraph" w:customStyle="1" w:styleId="151">
    <w:name w:val="表内文字1"/>
    <w:basedOn w:val="1"/>
    <w:qFormat/>
    <w:uiPriority w:val="0"/>
    <w:pPr>
      <w:adjustRightInd w:val="0"/>
      <w:spacing w:line="300" w:lineRule="atLeast"/>
      <w:ind w:firstLine="720" w:firstLineChars="200"/>
      <w:textAlignment w:val="baseline"/>
    </w:pPr>
    <w:rPr>
      <w:rFonts w:ascii="Arial" w:hAnsi="Arial" w:eastAsia="MS PGothic" w:cs="Times New Roman"/>
      <w:kern w:val="0"/>
      <w:sz w:val="20"/>
      <w:szCs w:val="20"/>
      <w:lang w:eastAsia="ja-JP"/>
    </w:rPr>
  </w:style>
  <w:style w:type="character" w:customStyle="1" w:styleId="152">
    <w:name w:val="文档结构图 字符"/>
    <w:basedOn w:val="44"/>
    <w:link w:val="17"/>
    <w:qFormat/>
    <w:uiPriority w:val="0"/>
    <w:rPr>
      <w:rFonts w:ascii="Times New Roman" w:hAnsi="Times New Roman" w:eastAsia="宋体" w:cs="Times New Roman"/>
      <w:szCs w:val="20"/>
    </w:rPr>
  </w:style>
  <w:style w:type="paragraph" w:customStyle="1" w:styleId="153">
    <w:name w:val="List Paragraph"/>
    <w:basedOn w:val="1"/>
    <w:qFormat/>
    <w:uiPriority w:val="34"/>
    <w:pPr>
      <w:spacing w:line="360" w:lineRule="auto"/>
      <w:ind w:firstLine="420" w:firstLineChars="200"/>
    </w:pPr>
    <w:rPr>
      <w:rFonts w:ascii="Arial" w:hAnsi="宋体" w:eastAsia="仿宋" w:cs="Times New Roman"/>
      <w:kern w:val="0"/>
      <w:sz w:val="21"/>
      <w:szCs w:val="24"/>
    </w:rPr>
  </w:style>
  <w:style w:type="paragraph" w:customStyle="1" w:styleId="154">
    <w:name w:val="正文ENPC"/>
    <w:basedOn w:val="1"/>
    <w:qFormat/>
    <w:uiPriority w:val="0"/>
    <w:pPr>
      <w:widowControl/>
      <w:overflowPunct w:val="0"/>
      <w:autoSpaceDE w:val="0"/>
      <w:autoSpaceDN w:val="0"/>
      <w:adjustRightInd w:val="0"/>
      <w:spacing w:line="360" w:lineRule="exact"/>
      <w:ind w:firstLine="720" w:firstLineChars="200"/>
      <w:jc w:val="left"/>
      <w:textAlignment w:val="baseline"/>
    </w:pPr>
    <w:rPr>
      <w:rFonts w:ascii="Arial" w:hAnsi="Arial" w:eastAsia="仿宋" w:cs="Arial"/>
      <w:kern w:val="0"/>
      <w:sz w:val="21"/>
      <w:szCs w:val="20"/>
    </w:rPr>
  </w:style>
  <w:style w:type="paragraph" w:customStyle="1" w:styleId="155">
    <w:name w:val="技术支持页书名"/>
    <w:qFormat/>
    <w:uiPriority w:val="0"/>
    <w:pPr>
      <w:adjustRightInd w:val="0"/>
      <w:snapToGrid w:val="0"/>
      <w:spacing w:line="360" w:lineRule="auto"/>
      <w:ind w:firstLine="198"/>
    </w:pPr>
    <w:rPr>
      <w:rFonts w:ascii="Arial" w:hAnsi="Arial" w:eastAsia="黑体" w:cs="Times New Roman"/>
      <w:b/>
      <w:sz w:val="28"/>
      <w:lang w:val="en-US" w:eastAsia="zh-CN" w:bidi="ar-SA"/>
    </w:rPr>
  </w:style>
  <w:style w:type="paragraph" w:customStyle="1" w:styleId="156">
    <w:name w:val="内部表格格式"/>
    <w:link w:val="157"/>
    <w:qFormat/>
    <w:uiPriority w:val="0"/>
    <w:pPr>
      <w:spacing w:before="20"/>
      <w:jc w:val="center"/>
    </w:pPr>
    <w:rPr>
      <w:rFonts w:ascii="宋体" w:hAnsi="宋体" w:eastAsia="宋体" w:cs="Times New Roman"/>
      <w:kern w:val="2"/>
      <w:sz w:val="21"/>
      <w:szCs w:val="24"/>
      <w:lang w:val="en-US" w:eastAsia="zh-CN" w:bidi="ar-SA"/>
    </w:rPr>
  </w:style>
  <w:style w:type="character" w:customStyle="1" w:styleId="157">
    <w:name w:val="内部表格格式 Char"/>
    <w:link w:val="156"/>
    <w:qFormat/>
    <w:uiPriority w:val="0"/>
    <w:rPr>
      <w:rFonts w:ascii="宋体" w:hAnsi="宋体" w:eastAsia="宋体" w:cs="Times New Roman"/>
      <w:kern w:val="2"/>
      <w:sz w:val="21"/>
      <w:szCs w:val="24"/>
      <w:lang w:val="en-US" w:eastAsia="zh-CN" w:bidi="ar-SA"/>
    </w:rPr>
  </w:style>
  <w:style w:type="paragraph" w:customStyle="1" w:styleId="158">
    <w:name w:val="页脚国祥"/>
    <w:basedOn w:val="29"/>
    <w:link w:val="160"/>
    <w:qFormat/>
    <w:uiPriority w:val="0"/>
    <w:pPr>
      <w:widowControl/>
      <w:snapToGrid/>
      <w:spacing w:line="440" w:lineRule="exact"/>
      <w:ind w:firstLine="198" w:firstLineChars="200"/>
      <w:jc w:val="right"/>
    </w:pPr>
    <w:rPr>
      <w:rFonts w:ascii="Times New Roman" w:hAnsi="Times New Roman" w:eastAsia="仿宋" w:cs="Times New Roman"/>
      <w:sz w:val="24"/>
      <w:szCs w:val="24"/>
    </w:rPr>
  </w:style>
  <w:style w:type="paragraph" w:customStyle="1" w:styleId="159">
    <w:name w:val="技术条件题目"/>
    <w:link w:val="162"/>
    <w:qFormat/>
    <w:uiPriority w:val="0"/>
    <w:pPr>
      <w:framePr w:hSpace="180" w:wrap="around" w:vAnchor="text" w:hAnchor="text" w:xAlign="center" w:y="1"/>
      <w:spacing w:line="440" w:lineRule="exact"/>
      <w:ind w:firstLine="198"/>
    </w:pPr>
    <w:rPr>
      <w:rFonts w:ascii="宋体" w:hAnsi="Times New Roman" w:eastAsia="宋体" w:cs="Times New Roman"/>
      <w:b/>
      <w:kern w:val="2"/>
      <w:sz w:val="24"/>
      <w:szCs w:val="24"/>
      <w:lang w:val="en-US" w:eastAsia="zh-CN" w:bidi="ar-SA"/>
    </w:rPr>
  </w:style>
  <w:style w:type="character" w:customStyle="1" w:styleId="160">
    <w:name w:val="页脚国祥 Char"/>
    <w:basedOn w:val="89"/>
    <w:link w:val="158"/>
    <w:qFormat/>
    <w:uiPriority w:val="0"/>
    <w:rPr>
      <w:sz w:val="24"/>
      <w:szCs w:val="24"/>
    </w:rPr>
  </w:style>
  <w:style w:type="paragraph" w:customStyle="1" w:styleId="161">
    <w:name w:val="题头表格样式1"/>
    <w:link w:val="164"/>
    <w:qFormat/>
    <w:uiPriority w:val="0"/>
    <w:pPr>
      <w:framePr w:hSpace="180" w:wrap="around" w:vAnchor="text" w:hAnchor="text" w:xAlign="center" w:y="1"/>
      <w:spacing w:line="440" w:lineRule="exact"/>
    </w:pPr>
    <w:rPr>
      <w:rFonts w:ascii="宋体" w:hAnsi="Times New Roman" w:eastAsia="宋体" w:cs="Times New Roman"/>
      <w:b/>
      <w:kern w:val="2"/>
      <w:sz w:val="24"/>
      <w:szCs w:val="16"/>
      <w:lang w:val="en-US" w:eastAsia="zh-CN" w:bidi="ar-SA"/>
    </w:rPr>
  </w:style>
  <w:style w:type="character" w:customStyle="1" w:styleId="162">
    <w:name w:val="技术条件题目 Char"/>
    <w:link w:val="159"/>
    <w:qFormat/>
    <w:uiPriority w:val="0"/>
    <w:rPr>
      <w:rFonts w:ascii="宋体" w:hAnsi="Times New Roman" w:eastAsia="宋体" w:cs="Times New Roman"/>
      <w:b/>
      <w:kern w:val="2"/>
      <w:sz w:val="24"/>
      <w:szCs w:val="24"/>
      <w:lang w:val="en-US" w:eastAsia="zh-CN" w:bidi="ar-SA"/>
    </w:rPr>
  </w:style>
  <w:style w:type="paragraph" w:customStyle="1" w:styleId="163">
    <w:name w:val="题头表格样式2"/>
    <w:link w:val="166"/>
    <w:qFormat/>
    <w:uiPriority w:val="0"/>
    <w:pPr>
      <w:framePr w:hSpace="180" w:wrap="around" w:vAnchor="text" w:hAnchor="text" w:xAlign="center" w:y="1"/>
      <w:spacing w:line="440" w:lineRule="exact"/>
      <w:ind w:firstLine="198"/>
      <w:jc w:val="center"/>
    </w:pPr>
    <w:rPr>
      <w:rFonts w:ascii="宋体" w:hAnsi="Times New Roman" w:eastAsia="黑体" w:cs="Times New Roman"/>
      <w:b/>
      <w:kern w:val="2"/>
      <w:sz w:val="36"/>
      <w:szCs w:val="16"/>
      <w:lang w:val="en-US" w:eastAsia="zh-CN" w:bidi="ar-SA"/>
    </w:rPr>
  </w:style>
  <w:style w:type="character" w:customStyle="1" w:styleId="164">
    <w:name w:val="题头表格样式1 Char"/>
    <w:link w:val="161"/>
    <w:qFormat/>
    <w:uiPriority w:val="0"/>
    <w:rPr>
      <w:rFonts w:ascii="宋体" w:hAnsi="Times New Roman" w:eastAsia="宋体" w:cs="Times New Roman"/>
      <w:b/>
      <w:kern w:val="2"/>
      <w:sz w:val="24"/>
      <w:szCs w:val="16"/>
      <w:lang w:val="en-US" w:eastAsia="zh-CN" w:bidi="ar-SA"/>
    </w:rPr>
  </w:style>
  <w:style w:type="paragraph" w:customStyle="1" w:styleId="165">
    <w:name w:val="标题2"/>
    <w:basedOn w:val="2"/>
    <w:link w:val="168"/>
    <w:qFormat/>
    <w:uiPriority w:val="0"/>
    <w:pPr>
      <w:keepNext w:val="0"/>
      <w:keepLines w:val="0"/>
      <w:widowControl/>
      <w:numPr>
        <w:ilvl w:val="0"/>
        <w:numId w:val="7"/>
      </w:numPr>
      <w:spacing w:before="0" w:after="0" w:line="440" w:lineRule="exact"/>
      <w:ind w:firstLine="720" w:firstLineChars="200"/>
      <w:jc w:val="left"/>
      <w:textAlignment w:val="center"/>
      <w:outlineLvl w:val="1"/>
    </w:pPr>
    <w:rPr>
      <w:rFonts w:ascii="Arial" w:hAnsi="Arial" w:eastAsia="宋体" w:cs="Arial"/>
      <w:b w:val="0"/>
      <w:kern w:val="24"/>
      <w:sz w:val="21"/>
      <w:szCs w:val="32"/>
      <w:lang w:val="zh-CN" w:eastAsia="zh-CN"/>
    </w:rPr>
  </w:style>
  <w:style w:type="character" w:customStyle="1" w:styleId="166">
    <w:name w:val="题头表格样式2 Char"/>
    <w:link w:val="163"/>
    <w:qFormat/>
    <w:uiPriority w:val="0"/>
    <w:rPr>
      <w:rFonts w:ascii="宋体" w:hAnsi="Times New Roman" w:eastAsia="黑体" w:cs="Times New Roman"/>
      <w:b/>
      <w:kern w:val="2"/>
      <w:sz w:val="36"/>
      <w:szCs w:val="16"/>
      <w:lang w:val="en-US" w:eastAsia="zh-CN" w:bidi="ar-SA"/>
    </w:rPr>
  </w:style>
  <w:style w:type="paragraph" w:customStyle="1" w:styleId="167">
    <w:name w:val="标题22"/>
    <w:basedOn w:val="4"/>
    <w:next w:val="6"/>
    <w:link w:val="170"/>
    <w:qFormat/>
    <w:uiPriority w:val="0"/>
    <w:pPr>
      <w:keepNext w:val="0"/>
      <w:keepLines w:val="0"/>
      <w:widowControl/>
      <w:numPr>
        <w:ilvl w:val="0"/>
        <w:numId w:val="8"/>
      </w:numPr>
      <w:spacing w:before="0" w:after="0" w:line="440" w:lineRule="exact"/>
      <w:ind w:firstLine="720" w:firstLineChars="200"/>
      <w:jc w:val="left"/>
      <w:textAlignment w:val="center"/>
      <w:outlineLvl w:val="7"/>
    </w:pPr>
    <w:rPr>
      <w:rFonts w:ascii="Arial" w:hAnsi="Arial" w:eastAsia="仿宋" w:cs="Times New Roman"/>
      <w:kern w:val="24"/>
      <w:sz w:val="21"/>
      <w:szCs w:val="32"/>
    </w:rPr>
  </w:style>
  <w:style w:type="character" w:customStyle="1" w:styleId="168">
    <w:name w:val="标题2 Char"/>
    <w:link w:val="165"/>
    <w:qFormat/>
    <w:uiPriority w:val="0"/>
    <w:rPr>
      <w:rFonts w:ascii="Arial" w:hAnsi="Arial" w:eastAsia="宋体" w:cs="Times New Roman"/>
      <w:kern w:val="24"/>
      <w:sz w:val="21"/>
      <w:szCs w:val="32"/>
      <w:lang w:val="zh-CN" w:eastAsia="zh-CN"/>
    </w:rPr>
  </w:style>
  <w:style w:type="paragraph" w:customStyle="1" w:styleId="169">
    <w:name w:val="图片"/>
    <w:basedOn w:val="1"/>
    <w:link w:val="172"/>
    <w:qFormat/>
    <w:uiPriority w:val="0"/>
    <w:pPr>
      <w:spacing w:line="360" w:lineRule="auto"/>
      <w:ind w:firstLine="420" w:firstLineChars="200"/>
      <w:jc w:val="right"/>
    </w:pPr>
    <w:rPr>
      <w:rFonts w:ascii="Arial" w:hAnsi="Arial" w:eastAsia="仿宋" w:cs="Times New Roman"/>
      <w:sz w:val="21"/>
      <w:szCs w:val="18"/>
      <w:lang w:val="zh-CN" w:eastAsia="zh-CN"/>
    </w:rPr>
  </w:style>
  <w:style w:type="character" w:customStyle="1" w:styleId="170">
    <w:name w:val="标题22 Char"/>
    <w:basedOn w:val="93"/>
    <w:link w:val="167"/>
    <w:qFormat/>
    <w:uiPriority w:val="0"/>
    <w:rPr>
      <w:rFonts w:ascii="Arial" w:hAnsi="Arial"/>
      <w:kern w:val="24"/>
      <w:sz w:val="21"/>
    </w:rPr>
  </w:style>
  <w:style w:type="paragraph" w:customStyle="1" w:styleId="171">
    <w:name w:val="图形中文字1"/>
    <w:basedOn w:val="1"/>
    <w:link w:val="174"/>
    <w:qFormat/>
    <w:uiPriority w:val="0"/>
    <w:pPr>
      <w:spacing w:line="360" w:lineRule="auto"/>
      <w:ind w:firstLine="720" w:firstLineChars="200"/>
      <w:jc w:val="left"/>
    </w:pPr>
    <w:rPr>
      <w:rFonts w:ascii="Arial" w:hAnsi="Arial" w:eastAsia="仿宋" w:cs="Times New Roman"/>
      <w:sz w:val="21"/>
      <w:szCs w:val="18"/>
      <w:lang w:val="zh-CN" w:eastAsia="zh-CN"/>
    </w:rPr>
  </w:style>
  <w:style w:type="character" w:customStyle="1" w:styleId="172">
    <w:name w:val="图片 Char"/>
    <w:link w:val="169"/>
    <w:qFormat/>
    <w:uiPriority w:val="0"/>
    <w:rPr>
      <w:rFonts w:ascii="Arial" w:hAnsi="Arial" w:eastAsia="宋体" w:cs="Times New Roman"/>
      <w:sz w:val="21"/>
      <w:szCs w:val="18"/>
      <w:lang w:val="zh-CN" w:eastAsia="zh-CN"/>
    </w:rPr>
  </w:style>
  <w:style w:type="paragraph" w:customStyle="1" w:styleId="173">
    <w:name w:val="font5"/>
    <w:basedOn w:val="1"/>
    <w:qFormat/>
    <w:uiPriority w:val="0"/>
    <w:pPr>
      <w:widowControl/>
      <w:spacing w:before="100" w:beforeAutospacing="1" w:after="100" w:afterAutospacing="1" w:line="360" w:lineRule="auto"/>
      <w:ind w:firstLine="720" w:firstLineChars="200"/>
      <w:jc w:val="left"/>
    </w:pPr>
    <w:rPr>
      <w:rFonts w:ascii="Arial" w:hAnsi="宋体" w:eastAsia="仿宋" w:cs="宋体"/>
      <w:kern w:val="0"/>
      <w:sz w:val="18"/>
      <w:szCs w:val="18"/>
    </w:rPr>
  </w:style>
  <w:style w:type="character" w:customStyle="1" w:styleId="174">
    <w:name w:val="图形中文字1 Char"/>
    <w:link w:val="171"/>
    <w:qFormat/>
    <w:uiPriority w:val="0"/>
    <w:rPr>
      <w:rFonts w:ascii="Arial" w:hAnsi="Arial" w:eastAsia="宋体" w:cs="Times New Roman"/>
      <w:sz w:val="21"/>
      <w:szCs w:val="18"/>
      <w:lang w:val="zh-CN" w:eastAsia="zh-CN"/>
    </w:rPr>
  </w:style>
  <w:style w:type="paragraph" w:customStyle="1" w:styleId="1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720" w:firstLineChars="200"/>
      <w:jc w:val="center"/>
    </w:pPr>
    <w:rPr>
      <w:rFonts w:ascii="Arial" w:hAnsi="宋体" w:eastAsia="仿宋" w:cs="宋体"/>
      <w:kern w:val="0"/>
      <w:sz w:val="24"/>
      <w:szCs w:val="24"/>
    </w:rPr>
  </w:style>
  <w:style w:type="paragraph" w:customStyle="1" w:styleId="1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720" w:firstLineChars="200"/>
      <w:jc w:val="center"/>
    </w:pPr>
    <w:rPr>
      <w:rFonts w:ascii="Arial" w:hAnsi="宋体" w:eastAsia="仿宋" w:cs="宋体"/>
      <w:kern w:val="0"/>
      <w:sz w:val="24"/>
      <w:szCs w:val="24"/>
    </w:rPr>
  </w:style>
  <w:style w:type="paragraph" w:customStyle="1" w:styleId="177">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360" w:lineRule="auto"/>
      <w:ind w:firstLine="720" w:firstLineChars="200"/>
      <w:jc w:val="left"/>
    </w:pPr>
    <w:rPr>
      <w:rFonts w:ascii="Arial" w:hAnsi="宋体" w:eastAsia="仿宋" w:cs="宋体"/>
      <w:kern w:val="0"/>
      <w:sz w:val="24"/>
      <w:szCs w:val="24"/>
    </w:rPr>
  </w:style>
  <w:style w:type="paragraph" w:customStyle="1" w:styleId="17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360" w:lineRule="auto"/>
      <w:ind w:firstLine="720" w:firstLineChars="200"/>
      <w:jc w:val="left"/>
    </w:pPr>
    <w:rPr>
      <w:rFonts w:ascii="Arial" w:hAnsi="宋体" w:eastAsia="仿宋" w:cs="宋体"/>
      <w:kern w:val="0"/>
      <w:sz w:val="24"/>
      <w:szCs w:val="24"/>
    </w:rPr>
  </w:style>
  <w:style w:type="paragraph" w:customStyle="1" w:styleId="179">
    <w:name w:val="xl70"/>
    <w:basedOn w:val="1"/>
    <w:qFormat/>
    <w:uiPriority w:val="0"/>
    <w:pPr>
      <w:widowControl/>
      <w:spacing w:before="100" w:beforeAutospacing="1" w:after="100" w:afterAutospacing="1" w:line="360" w:lineRule="auto"/>
      <w:ind w:firstLine="720" w:firstLineChars="200"/>
      <w:jc w:val="center"/>
    </w:pPr>
    <w:rPr>
      <w:rFonts w:ascii="Arial" w:hAnsi="宋体" w:eastAsia="仿宋" w:cs="宋体"/>
      <w:kern w:val="0"/>
      <w:sz w:val="24"/>
      <w:szCs w:val="24"/>
    </w:rPr>
  </w:style>
  <w:style w:type="paragraph" w:customStyle="1" w:styleId="180">
    <w:name w:val="xl71"/>
    <w:basedOn w:val="1"/>
    <w:qFormat/>
    <w:uiPriority w:val="0"/>
    <w:pPr>
      <w:widowControl/>
      <w:spacing w:before="100" w:beforeAutospacing="1" w:after="100" w:afterAutospacing="1" w:line="360" w:lineRule="auto"/>
      <w:ind w:firstLine="720" w:firstLineChars="200"/>
      <w:jc w:val="center"/>
    </w:pPr>
    <w:rPr>
      <w:rFonts w:ascii="Arial" w:hAnsi="宋体" w:eastAsia="仿宋" w:cs="宋体"/>
      <w:b/>
      <w:bCs/>
      <w:kern w:val="0"/>
      <w:sz w:val="36"/>
      <w:szCs w:val="36"/>
    </w:rPr>
  </w:style>
  <w:style w:type="paragraph" w:customStyle="1" w:styleId="181">
    <w:name w:val="xl72"/>
    <w:basedOn w:val="1"/>
    <w:qFormat/>
    <w:uiPriority w:val="0"/>
    <w:pPr>
      <w:widowControl/>
      <w:spacing w:before="100" w:beforeAutospacing="1" w:after="100" w:afterAutospacing="1" w:line="360" w:lineRule="auto"/>
      <w:ind w:firstLine="720" w:firstLineChars="200"/>
      <w:jc w:val="center"/>
    </w:pPr>
    <w:rPr>
      <w:rFonts w:ascii="Arial" w:hAnsi="宋体" w:eastAsia="仿宋" w:cs="宋体"/>
      <w:kern w:val="0"/>
      <w:sz w:val="36"/>
      <w:szCs w:val="36"/>
    </w:rPr>
  </w:style>
  <w:style w:type="paragraph" w:customStyle="1" w:styleId="182">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360" w:lineRule="auto"/>
      <w:ind w:firstLine="720" w:firstLineChars="200"/>
      <w:jc w:val="center"/>
    </w:pPr>
    <w:rPr>
      <w:rFonts w:ascii="Arial" w:hAnsi="宋体" w:eastAsia="仿宋" w:cs="宋体"/>
      <w:kern w:val="0"/>
      <w:sz w:val="24"/>
      <w:szCs w:val="24"/>
    </w:rPr>
  </w:style>
  <w:style w:type="character" w:customStyle="1" w:styleId="183">
    <w:name w:val="Placeholder Text"/>
    <w:basedOn w:val="44"/>
    <w:semiHidden/>
    <w:qFormat/>
    <w:uiPriority w:val="99"/>
    <w:rPr>
      <w:rFonts w:ascii="Times New Roman" w:hAnsi="Times New Roman" w:eastAsia="宋体" w:cs="Times New Roman"/>
      <w:color w:val="808080"/>
      <w:szCs w:val="20"/>
    </w:rPr>
  </w:style>
  <w:style w:type="character" w:customStyle="1" w:styleId="184">
    <w:name w:val="标题 1 Char"/>
    <w:basedOn w:val="44"/>
    <w:link w:val="2"/>
    <w:qFormat/>
    <w:uiPriority w:val="0"/>
    <w:rPr>
      <w:rFonts w:ascii="宋体" w:hAnsi="宋体" w:eastAsia="黑体" w:cs="Times New Roman"/>
      <w:bCs/>
      <w:kern w:val="2"/>
      <w:sz w:val="24"/>
      <w:szCs w:val="44"/>
    </w:rPr>
  </w:style>
  <w:style w:type="paragraph" w:customStyle="1" w:styleId="185">
    <w:name w:val="封表L"/>
    <w:basedOn w:val="1"/>
    <w:link w:val="186"/>
    <w:qFormat/>
    <w:uiPriority w:val="0"/>
    <w:pPr>
      <w:framePr w:hSpace="180" w:wrap="around" w:vAnchor="text" w:hAnchor="margin" w:y="103"/>
      <w:widowControl/>
      <w:spacing w:line="400" w:lineRule="exact"/>
      <w:ind w:firstLine="200" w:firstLineChars="200"/>
      <w:jc w:val="left"/>
    </w:pPr>
    <w:rPr>
      <w:rFonts w:ascii="Calibri" w:hAnsi="Calibri" w:eastAsia="宋体" w:cs="Times New Roman"/>
      <w:b/>
      <w:sz w:val="24"/>
      <w:szCs w:val="21"/>
    </w:rPr>
  </w:style>
  <w:style w:type="character" w:customStyle="1" w:styleId="186">
    <w:name w:val="封表L 字符"/>
    <w:basedOn w:val="44"/>
    <w:link w:val="185"/>
    <w:qFormat/>
    <w:uiPriority w:val="0"/>
    <w:rPr>
      <w:rFonts w:ascii="Calibri" w:hAnsi="Calibri" w:eastAsia="宋体" w:cs="Times New Roman"/>
      <w:b/>
      <w:szCs w:val="21"/>
    </w:rPr>
  </w:style>
  <w:style w:type="paragraph" w:customStyle="1" w:styleId="187">
    <w:name w:val="封表格宋"/>
    <w:link w:val="188"/>
    <w:qFormat/>
    <w:uiPriority w:val="0"/>
    <w:pPr>
      <w:framePr w:hSpace="180" w:wrap="around" w:vAnchor="text" w:hAnchor="margin" w:y="103"/>
      <w:jc w:val="center"/>
    </w:pPr>
    <w:rPr>
      <w:rFonts w:ascii="Calibri" w:hAnsi="Calibri" w:eastAsia="宋体" w:cs="Times New Roman"/>
      <w:kern w:val="2"/>
      <w:sz w:val="21"/>
      <w:szCs w:val="21"/>
      <w:lang w:val="en-US" w:eastAsia="zh-CN" w:bidi="ar-SA"/>
    </w:rPr>
  </w:style>
  <w:style w:type="character" w:customStyle="1" w:styleId="188">
    <w:name w:val="封表格宋 字符"/>
    <w:basedOn w:val="44"/>
    <w:link w:val="187"/>
    <w:qFormat/>
    <w:uiPriority w:val="0"/>
    <w:rPr>
      <w:rFonts w:ascii="Calibri" w:hAnsi="Calibri" w:eastAsia="宋体" w:cs="Times New Roman"/>
      <w:kern w:val="2"/>
      <w:sz w:val="21"/>
      <w:szCs w:val="21"/>
      <w:lang w:val="en-US" w:eastAsia="zh-CN" w:bidi="ar-SA"/>
    </w:rPr>
  </w:style>
  <w:style w:type="paragraph" w:customStyle="1" w:styleId="189">
    <w:name w:val="封表黑"/>
    <w:basedOn w:val="1"/>
    <w:link w:val="190"/>
    <w:qFormat/>
    <w:uiPriority w:val="0"/>
    <w:pPr>
      <w:framePr w:hSpace="180" w:wrap="around" w:vAnchor="text" w:hAnchor="margin" w:y="103"/>
      <w:spacing w:line="240" w:lineRule="auto"/>
      <w:ind w:firstLine="0" w:firstLineChars="0"/>
      <w:jc w:val="center"/>
    </w:pPr>
    <w:rPr>
      <w:rFonts w:ascii="Calibri" w:hAnsi="Calibri" w:eastAsia="宋体" w:cs="Times New Roman"/>
      <w:b/>
      <w:sz w:val="21"/>
      <w:szCs w:val="21"/>
    </w:rPr>
  </w:style>
  <w:style w:type="character" w:customStyle="1" w:styleId="190">
    <w:name w:val="封表黑 字符"/>
    <w:basedOn w:val="44"/>
    <w:link w:val="189"/>
    <w:qFormat/>
    <w:uiPriority w:val="0"/>
    <w:rPr>
      <w:rFonts w:ascii="Calibri" w:hAnsi="Calibri" w:eastAsia="宋体" w:cs="Times New Roman"/>
      <w:b/>
      <w:sz w:val="21"/>
      <w:szCs w:val="21"/>
    </w:rPr>
  </w:style>
  <w:style w:type="character" w:customStyle="1" w:styleId="191">
    <w:name w:val="日期 Char"/>
    <w:basedOn w:val="44"/>
    <w:link w:val="26"/>
    <w:qFormat/>
    <w:uiPriority w:val="0"/>
    <w:rPr>
      <w:rFonts w:ascii="宋体" w:hAnsi="宋体" w:eastAsia="宋体" w:cs="Times New Roman"/>
      <w:kern w:val="2"/>
      <w:sz w:val="24"/>
      <w:szCs w:val="24"/>
    </w:rPr>
  </w:style>
  <w:style w:type="paragraph" w:customStyle="1" w:styleId="192">
    <w:name w:val="无间隔1"/>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93">
    <w:name w:val="列出段落1"/>
    <w:basedOn w:val="1"/>
    <w:qFormat/>
    <w:uiPriority w:val="34"/>
    <w:pPr>
      <w:spacing w:line="400" w:lineRule="exact"/>
      <w:ind w:firstLine="420" w:firstLineChars="200"/>
    </w:pPr>
    <w:rPr>
      <w:rFonts w:ascii="Times New Roman" w:hAnsi="Times New Roman" w:eastAsia="宋体" w:cs="Times New Roman"/>
      <w:sz w:val="24"/>
      <w:szCs w:val="24"/>
    </w:rPr>
  </w:style>
  <w:style w:type="character" w:customStyle="1" w:styleId="194">
    <w:name w:val="页脚 Char"/>
    <w:basedOn w:val="44"/>
    <w:link w:val="29"/>
    <w:qFormat/>
    <w:uiPriority w:val="99"/>
    <w:rPr>
      <w:rFonts w:ascii="Times New Roman" w:hAnsi="Times New Roman" w:eastAsia="宋体" w:cs="Times New Roman"/>
      <w:kern w:val="2"/>
      <w:sz w:val="18"/>
      <w:szCs w:val="18"/>
    </w:rPr>
  </w:style>
  <w:style w:type="character" w:customStyle="1" w:styleId="195">
    <w:name w:val="副标题 Char"/>
    <w:link w:val="36"/>
    <w:qFormat/>
    <w:uiPriority w:val="0"/>
    <w:rPr>
      <w:rFonts w:ascii="Cambria" w:hAnsi="Cambria" w:eastAsia="宋体" w:cs="Times New Roman"/>
      <w:b/>
      <w:bCs/>
      <w:kern w:val="28"/>
      <w:sz w:val="32"/>
      <w:szCs w:val="32"/>
    </w:rPr>
  </w:style>
  <w:style w:type="character" w:customStyle="1" w:styleId="196">
    <w:name w:val="页眉 Char"/>
    <w:link w:val="31"/>
    <w:qFormat/>
    <w:uiPriority w:val="99"/>
    <w:rPr>
      <w:rFonts w:ascii="Times New Roman" w:hAnsi="Times New Roman" w:eastAsia="宋体" w:cs="Times New Roman"/>
      <w:kern w:val="2"/>
      <w:sz w:val="18"/>
      <w:szCs w:val="18"/>
    </w:rPr>
  </w:style>
  <w:style w:type="character" w:customStyle="1" w:styleId="197">
    <w:name w:val="标题 2 Char"/>
    <w:basedOn w:val="44"/>
    <w:link w:val="3"/>
    <w:qFormat/>
    <w:uiPriority w:val="0"/>
    <w:rPr>
      <w:rFonts w:ascii="宋体" w:hAnsi="宋体" w:eastAsia="黑体" w:cs="Times New Roman"/>
      <w:kern w:val="2"/>
      <w:sz w:val="24"/>
      <w:szCs w:val="32"/>
    </w:rPr>
  </w:style>
  <w:style w:type="character" w:customStyle="1" w:styleId="198">
    <w:name w:val="标题 3 Char"/>
    <w:basedOn w:val="44"/>
    <w:link w:val="4"/>
    <w:qFormat/>
    <w:uiPriority w:val="0"/>
    <w:rPr>
      <w:rFonts w:ascii="宋体" w:hAnsi="宋体" w:eastAsia="宋体" w:cs="Times New Roman"/>
      <w:bCs/>
      <w:kern w:val="2"/>
      <w:sz w:val="24"/>
      <w:szCs w:val="32"/>
    </w:rPr>
  </w:style>
  <w:style w:type="character" w:customStyle="1" w:styleId="199">
    <w:name w:val="标题 4 Char"/>
    <w:basedOn w:val="44"/>
    <w:link w:val="5"/>
    <w:qFormat/>
    <w:uiPriority w:val="0"/>
    <w:rPr>
      <w:rFonts w:ascii="宋体" w:hAnsi="宋体" w:eastAsia="宋体" w:cs="Times New Roman"/>
      <w:sz w:val="24"/>
      <w:szCs w:val="20"/>
      <w:lang w:val="en-GB" w:eastAsia="en-US"/>
    </w:rPr>
  </w:style>
  <w:style w:type="paragraph" w:customStyle="1" w:styleId="200">
    <w:name w:val="TOC 标题1"/>
    <w:basedOn w:val="2"/>
    <w:next w:val="1"/>
    <w:unhideWhenUsed/>
    <w:qFormat/>
    <w:uiPriority w:val="39"/>
    <w:pPr>
      <w:numPr>
        <w:ilvl w:val="0"/>
        <w:numId w:val="0"/>
      </w:numPr>
      <w:spacing w:before="480" w:beforeLines="0" w:after="0" w:afterLines="0" w:line="276" w:lineRule="auto"/>
      <w:outlineLvl w:val="9"/>
    </w:pPr>
    <w:rPr>
      <w:rFonts w:asciiTheme="majorHAnsi" w:hAnsiTheme="majorHAnsi" w:eastAsiaTheme="majorEastAsia" w:cstheme="majorBidi"/>
      <w:color w:val="2E75B6" w:themeColor="accent1" w:themeShade="BF"/>
      <w:kern w:val="0"/>
      <w:sz w:val="28"/>
      <w:szCs w:val="28"/>
      <w:lang w:val="en-US" w:eastAsia="zh-CN" w:bidi="ar-SA"/>
    </w:rPr>
  </w:style>
  <w:style w:type="character" w:customStyle="1" w:styleId="201">
    <w:name w:val="font21"/>
    <w:basedOn w:val="44"/>
    <w:qFormat/>
    <w:uiPriority w:val="0"/>
    <w:rPr>
      <w:rFonts w:hint="eastAsia" w:ascii="等线" w:hAnsi="等线" w:eastAsia="等线" w:cs="等线"/>
      <w:color w:val="000000"/>
      <w:sz w:val="22"/>
      <w:szCs w:val="22"/>
      <w:u w:val="none"/>
    </w:rPr>
  </w:style>
  <w:style w:type="character" w:customStyle="1" w:styleId="202">
    <w:name w:val="font11"/>
    <w:basedOn w:val="44"/>
    <w:qFormat/>
    <w:uiPriority w:val="0"/>
    <w:rPr>
      <w:rFonts w:hint="eastAsia" w:ascii="宋体" w:hAnsi="宋体" w:eastAsia="宋体" w:cs="宋体"/>
      <w:color w:val="F79646"/>
      <w:sz w:val="21"/>
      <w:szCs w:val="21"/>
      <w:u w:val="none"/>
    </w:rPr>
  </w:style>
  <w:style w:type="paragraph" w:customStyle="1" w:styleId="203">
    <w:name w:val="列出段落11"/>
    <w:basedOn w:val="1"/>
    <w:qFormat/>
    <w:uiPriority w:val="34"/>
    <w:pPr>
      <w:spacing w:line="400" w:lineRule="exact"/>
      <w:ind w:firstLine="420" w:firstLineChars="200"/>
    </w:pPr>
    <w:rPr>
      <w:rFonts w:ascii="Times New Roman" w:hAnsi="Times New Roman" w:eastAsia="宋体" w:cs="Times New Roman"/>
      <w:sz w:val="24"/>
      <w:szCs w:val="24"/>
    </w:rPr>
  </w:style>
  <w:style w:type="paragraph" w:customStyle="1" w:styleId="204">
    <w:name w:val="No Spacing"/>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05">
    <w:name w:val="c6ui-widget-btn-single-h"/>
    <w:basedOn w:val="44"/>
    <w:qFormat/>
    <w:uiPriority w:val="0"/>
    <w:rPr>
      <w:rFonts w:ascii="Times New Roman" w:hAnsi="Times New Roman" w:eastAsia="宋体" w:cs="Times New Roman"/>
      <w:szCs w:val="20"/>
    </w:rPr>
  </w:style>
  <w:style w:type="character" w:customStyle="1" w:styleId="206">
    <w:name w:val="widget-btn-plus-h"/>
    <w:basedOn w:val="44"/>
    <w:qFormat/>
    <w:uiPriority w:val="0"/>
    <w:rPr>
      <w:rFonts w:ascii="Times New Roman" w:hAnsi="Times New Roman" w:eastAsia="宋体" w:cs="Times New Roman"/>
      <w:szCs w:val="20"/>
    </w:rPr>
  </w:style>
  <w:style w:type="character" w:customStyle="1" w:styleId="207">
    <w:name w:val="m"/>
    <w:basedOn w:val="44"/>
    <w:qFormat/>
    <w:uiPriority w:val="0"/>
    <w:rPr>
      <w:rFonts w:ascii="Times New Roman" w:hAnsi="Times New Roman" w:eastAsia="宋体" w:cs="Times New Roman"/>
      <w:szCs w:val="20"/>
    </w:rPr>
  </w:style>
  <w:style w:type="character" w:customStyle="1" w:styleId="208">
    <w:name w:val="widget-btn-left-c"/>
    <w:basedOn w:val="44"/>
    <w:qFormat/>
    <w:uiPriority w:val="0"/>
    <w:rPr>
      <w:rFonts w:ascii="Times New Roman" w:hAnsi="Times New Roman" w:eastAsia="宋体" w:cs="Times New Roman"/>
      <w:szCs w:val="20"/>
    </w:rPr>
  </w:style>
  <w:style w:type="character" w:customStyle="1" w:styleId="209">
    <w:name w:val="widget-btn-plus-c"/>
    <w:basedOn w:val="44"/>
    <w:qFormat/>
    <w:uiPriority w:val="0"/>
    <w:rPr>
      <w:rFonts w:ascii="Times New Roman" w:hAnsi="Times New Roman" w:eastAsia="宋体" w:cs="Times New Roman"/>
      <w:szCs w:val="20"/>
    </w:rPr>
  </w:style>
  <w:style w:type="character" w:customStyle="1" w:styleId="210">
    <w:name w:val="widget-btn-left-h"/>
    <w:basedOn w:val="44"/>
    <w:qFormat/>
    <w:uiPriority w:val="0"/>
    <w:rPr>
      <w:rFonts w:ascii="Times New Roman" w:hAnsi="Times New Roman" w:eastAsia="宋体" w:cs="Times New Roman"/>
      <w:szCs w:val="20"/>
    </w:rPr>
  </w:style>
  <w:style w:type="character" w:customStyle="1" w:styleId="211">
    <w:name w:val="c6ui-widget-btn-single"/>
    <w:basedOn w:val="44"/>
    <w:qFormat/>
    <w:uiPriority w:val="0"/>
    <w:rPr>
      <w:rFonts w:ascii="Times New Roman" w:hAnsi="Times New Roman" w:eastAsia="宋体" w:cs="Times New Roman"/>
      <w:szCs w:val="20"/>
    </w:rPr>
  </w:style>
  <w:style w:type="character" w:customStyle="1" w:styleId="212">
    <w:name w:val="c6ui-widget-btn-single1"/>
    <w:basedOn w:val="44"/>
    <w:qFormat/>
    <w:uiPriority w:val="0"/>
    <w:rPr>
      <w:rFonts w:ascii="Times New Roman" w:hAnsi="Times New Roman" w:eastAsia="宋体" w:cs="Times New Roman"/>
      <w:szCs w:val="20"/>
    </w:rPr>
  </w:style>
  <w:style w:type="character" w:customStyle="1" w:styleId="213">
    <w:name w:val="widget-btn-left"/>
    <w:basedOn w:val="44"/>
    <w:qFormat/>
    <w:uiPriority w:val="0"/>
    <w:rPr>
      <w:rFonts w:ascii="Times New Roman" w:hAnsi="Times New Roman" w:eastAsia="宋体" w:cs="Times New Roman"/>
      <w:color w:val="FFFFFF"/>
      <w:szCs w:val="20"/>
    </w:rPr>
  </w:style>
  <w:style w:type="character" w:customStyle="1" w:styleId="214">
    <w:name w:val="widget-btn-plus"/>
    <w:basedOn w:val="44"/>
    <w:qFormat/>
    <w:uiPriority w:val="0"/>
    <w:rPr>
      <w:rFonts w:ascii="Times New Roman" w:hAnsi="Times New Roman" w:eastAsia="宋体" w:cs="Times New Roman"/>
      <w:szCs w:val="20"/>
    </w:rPr>
  </w:style>
  <w:style w:type="character" w:customStyle="1" w:styleId="215">
    <w:name w:val="triangle"/>
    <w:basedOn w:val="44"/>
    <w:qFormat/>
    <w:uiPriority w:val="0"/>
    <w:rPr>
      <w:rFonts w:ascii="Times New Roman" w:hAnsi="Times New Roman" w:eastAsia="宋体" w:cs="Times New Roman"/>
      <w:sz w:val="1"/>
      <w:szCs w:val="1"/>
    </w:rPr>
  </w:style>
  <w:style w:type="character" w:customStyle="1" w:styleId="216">
    <w:name w:val="tab_title"/>
    <w:basedOn w:val="44"/>
    <w:qFormat/>
    <w:uiPriority w:val="0"/>
    <w:rPr>
      <w:rFonts w:ascii="Times New Roman" w:hAnsi="Times New Roman" w:eastAsia="宋体" w:cs="Times New Roman"/>
      <w:color w:val="FFFFFF"/>
      <w:szCs w:val="20"/>
    </w:rPr>
  </w:style>
  <w:style w:type="character" w:customStyle="1" w:styleId="217">
    <w:name w:val="tab_title1"/>
    <w:basedOn w:val="44"/>
    <w:qFormat/>
    <w:uiPriority w:val="0"/>
    <w:rPr>
      <w:rFonts w:ascii="Times New Roman" w:hAnsi="Times New Roman" w:eastAsia="宋体" w:cs="Times New Roman"/>
      <w:b/>
      <w:color w:val="333333"/>
      <w:szCs w:val="20"/>
    </w:rPr>
  </w:style>
  <w:style w:type="character" w:customStyle="1" w:styleId="218">
    <w:name w:val="tab_close"/>
    <w:basedOn w:val="44"/>
    <w:qFormat/>
    <w:uiPriority w:val="0"/>
    <w:rPr>
      <w:rFonts w:ascii="Times New Roman" w:hAnsi="Times New Roman" w:eastAsia="宋体" w:cs="Times New Roman"/>
      <w:vanish/>
      <w:color w:val="FFFFFF"/>
      <w:szCs w:val="20"/>
    </w:rPr>
  </w:style>
  <w:style w:type="character" w:customStyle="1" w:styleId="219">
    <w:name w:val="tab_close1"/>
    <w:basedOn w:val="44"/>
    <w:qFormat/>
    <w:uiPriority w:val="0"/>
    <w:rPr>
      <w:rFonts w:ascii="Times New Roman" w:hAnsi="Times New Roman" w:eastAsia="宋体" w:cs="Times New Roman"/>
      <w:b/>
      <w:color w:val="333333"/>
      <w:szCs w:val="20"/>
    </w:rPr>
  </w:style>
  <w:style w:type="character" w:customStyle="1" w:styleId="220">
    <w:name w:val="c6ui-widget-btn-single-c"/>
    <w:basedOn w:val="44"/>
    <w:qFormat/>
    <w:uiPriority w:val="0"/>
    <w:rPr>
      <w:rFonts w:ascii="Times New Roman" w:hAnsi="Times New Roman" w:eastAsia="宋体" w:cs="Times New Roman"/>
      <w:szCs w:val="20"/>
    </w:rPr>
  </w:style>
  <w:style w:type="character" w:customStyle="1" w:styleId="221">
    <w:name w:val="r4"/>
    <w:basedOn w:val="44"/>
    <w:qFormat/>
    <w:uiPriority w:val="0"/>
    <w:rPr>
      <w:rFonts w:ascii="Times New Roman" w:hAnsi="Times New Roman" w:eastAsia="宋体" w:cs="Times New Roman"/>
      <w:szCs w:val="20"/>
    </w:rPr>
  </w:style>
  <w:style w:type="character" w:customStyle="1" w:styleId="222">
    <w:name w:val="active7"/>
    <w:basedOn w:val="44"/>
    <w:qFormat/>
    <w:uiPriority w:val="0"/>
    <w:rPr>
      <w:rFonts w:ascii="Times New Roman" w:hAnsi="Times New Roman" w:eastAsia="宋体" w:cs="Times New Roman"/>
      <w:b/>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footer" Target="footer1.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5.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Company>
  <Pages>24</Pages>
  <Words>2633</Words>
  <Characters>15012</Characters>
  <Lines>125</Lines>
  <Paragraphs>35</Paragraphs>
  <TotalTime>0</TotalTime>
  <ScaleCrop>false</ScaleCrop>
  <LinksUpToDate>false</LinksUpToDate>
  <CharactersWithSpaces>17610</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2017-03-07T08:34:00Z</dcterms:created>
  <dc:creator>王锦林</dc:creator>
  <cp:lastModifiedBy>李沫</cp:lastModifiedBy>
  <cp:lastPrinted>2025-12-30T10:13:00Z</cp:lastPrinted>
  <dcterms:modified xsi:type="dcterms:W3CDTF">2025-12-31T05:50:30Z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y fmtid="{D5CDD505-2E9C-101B-9397-08002B2CF9AE}" pid="3" name="ICV">
    <vt:lpwstr>ACF3298728094EF9A7E293D002C47A46</vt:lpwstr>
  </property>
  <property fmtid="{D5CDD505-2E9C-101B-9397-08002B2CF9AE}" pid="4" name="KSOTemplateDocerSaveRecord">
    <vt:lpwstr>eyJoZGlkIjoiYTVmMTIyNTM2MjlhNTFhYmRmODIwNWFiNDllZTliMTkiLCJ1c2VySWQiOiI0NTEzOTY5NjgifQ==</vt:lpwstr>
  </property>
</Properties>
</file>